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F5758" w14:textId="77777777" w:rsidR="00F41F10" w:rsidRPr="00FC2ADE" w:rsidRDefault="00F41F10" w:rsidP="001B0917">
      <w:pPr>
        <w:tabs>
          <w:tab w:val="left" w:pos="432"/>
          <w:tab w:val="left" w:pos="864"/>
        </w:tabs>
        <w:spacing w:line="276" w:lineRule="auto"/>
        <w:jc w:val="center"/>
        <w:rPr>
          <w:rFonts w:ascii="Arial" w:hAnsi="Arial" w:cs="Arial"/>
          <w:b/>
        </w:rPr>
      </w:pPr>
      <w:r w:rsidRPr="00FC2ADE">
        <w:rPr>
          <w:rFonts w:ascii="Arial" w:hAnsi="Arial" w:cs="Arial"/>
          <w:b/>
          <w:noProof/>
          <w:lang w:val="en-ZA" w:eastAsia="en-ZA"/>
        </w:rPr>
        <w:drawing>
          <wp:inline distT="0" distB="0" distL="0" distR="0" wp14:anchorId="2D9671DA" wp14:editId="7F9A7F99">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14:paraId="602691D9" w14:textId="77777777" w:rsidR="00C312EA" w:rsidRPr="009F363C" w:rsidRDefault="00C312EA" w:rsidP="008D1865">
      <w:pPr>
        <w:tabs>
          <w:tab w:val="left" w:pos="432"/>
          <w:tab w:val="left" w:pos="864"/>
        </w:tabs>
        <w:jc w:val="center"/>
        <w:rPr>
          <w:rFonts w:ascii="Arial" w:hAnsi="Arial" w:cs="Arial"/>
          <w:b/>
          <w:sz w:val="22"/>
          <w:szCs w:val="22"/>
        </w:rPr>
      </w:pPr>
      <w:r w:rsidRPr="009F363C">
        <w:rPr>
          <w:rFonts w:ascii="Arial" w:hAnsi="Arial" w:cs="Arial"/>
          <w:b/>
          <w:sz w:val="22"/>
          <w:szCs w:val="22"/>
        </w:rPr>
        <w:t>NATIONAL ASSEMBLY</w:t>
      </w:r>
    </w:p>
    <w:p w14:paraId="42B62B97" w14:textId="77777777" w:rsidR="009218ED" w:rsidRPr="009F363C" w:rsidRDefault="009218ED" w:rsidP="008D1865">
      <w:pPr>
        <w:tabs>
          <w:tab w:val="left" w:pos="432"/>
          <w:tab w:val="left" w:pos="864"/>
        </w:tabs>
        <w:jc w:val="center"/>
        <w:rPr>
          <w:rFonts w:ascii="Arial" w:hAnsi="Arial" w:cs="Arial"/>
          <w:b/>
          <w:sz w:val="22"/>
          <w:szCs w:val="22"/>
        </w:rPr>
      </w:pPr>
    </w:p>
    <w:p w14:paraId="61B32010" w14:textId="77777777" w:rsidR="00C312EA" w:rsidRPr="009F363C" w:rsidRDefault="00C312EA" w:rsidP="009218ED">
      <w:pPr>
        <w:tabs>
          <w:tab w:val="left" w:pos="432"/>
          <w:tab w:val="left" w:pos="864"/>
        </w:tabs>
        <w:rPr>
          <w:rFonts w:ascii="Arial" w:hAnsi="Arial" w:cs="Arial"/>
          <w:b/>
          <w:sz w:val="22"/>
          <w:szCs w:val="22"/>
        </w:rPr>
      </w:pPr>
      <w:r w:rsidRPr="009F363C">
        <w:rPr>
          <w:rFonts w:ascii="Arial" w:hAnsi="Arial" w:cs="Arial"/>
          <w:b/>
          <w:sz w:val="22"/>
          <w:szCs w:val="22"/>
        </w:rPr>
        <w:t>QUESTION FOR WRITTEN REPLY</w:t>
      </w:r>
    </w:p>
    <w:p w14:paraId="2FE1E858" w14:textId="77777777" w:rsidR="00AD00CE" w:rsidRPr="009F363C" w:rsidRDefault="00647EF2" w:rsidP="009218ED">
      <w:pPr>
        <w:tabs>
          <w:tab w:val="left" w:pos="432"/>
          <w:tab w:val="left" w:pos="864"/>
        </w:tabs>
        <w:rPr>
          <w:rFonts w:ascii="Arial" w:hAnsi="Arial" w:cs="Arial"/>
          <w:b/>
          <w:sz w:val="22"/>
          <w:szCs w:val="22"/>
        </w:rPr>
      </w:pPr>
      <w:r w:rsidRPr="009F363C">
        <w:rPr>
          <w:rFonts w:ascii="Arial" w:hAnsi="Arial" w:cs="Arial"/>
          <w:b/>
          <w:sz w:val="22"/>
          <w:szCs w:val="22"/>
        </w:rPr>
        <w:t>QUESTION NUMBER</w:t>
      </w:r>
      <w:r w:rsidR="001B0917" w:rsidRPr="009F363C">
        <w:rPr>
          <w:rFonts w:ascii="Arial" w:hAnsi="Arial" w:cs="Arial"/>
          <w:b/>
          <w:sz w:val="22"/>
          <w:szCs w:val="22"/>
        </w:rPr>
        <w:t>:</w:t>
      </w:r>
      <w:r w:rsidRPr="009F363C">
        <w:rPr>
          <w:rFonts w:ascii="Arial" w:hAnsi="Arial" w:cs="Arial"/>
          <w:b/>
          <w:sz w:val="22"/>
          <w:szCs w:val="22"/>
        </w:rPr>
        <w:t xml:space="preserve"> </w:t>
      </w:r>
      <w:r w:rsidR="00FC2ADE" w:rsidRPr="009F363C">
        <w:rPr>
          <w:rFonts w:ascii="Arial" w:hAnsi="Arial" w:cs="Arial"/>
          <w:b/>
          <w:sz w:val="22"/>
          <w:szCs w:val="22"/>
        </w:rPr>
        <w:t>198</w:t>
      </w:r>
      <w:r w:rsidR="00A66B7A" w:rsidRPr="009F363C">
        <w:rPr>
          <w:rFonts w:ascii="Arial" w:hAnsi="Arial" w:cs="Arial"/>
          <w:b/>
          <w:sz w:val="22"/>
          <w:szCs w:val="22"/>
        </w:rPr>
        <w:t>5</w:t>
      </w:r>
      <w:r w:rsidR="00AD00CE" w:rsidRPr="009F363C">
        <w:rPr>
          <w:rFonts w:ascii="Arial" w:hAnsi="Arial" w:cs="Arial"/>
          <w:b/>
          <w:sz w:val="22"/>
          <w:szCs w:val="22"/>
        </w:rPr>
        <w:t xml:space="preserve"> [NW</w:t>
      </w:r>
      <w:r w:rsidR="00FC2ADE" w:rsidRPr="009F363C">
        <w:rPr>
          <w:rFonts w:ascii="Arial" w:hAnsi="Arial" w:cs="Arial"/>
          <w:b/>
          <w:sz w:val="22"/>
          <w:szCs w:val="22"/>
        </w:rPr>
        <w:t>219</w:t>
      </w:r>
      <w:r w:rsidR="00A66B7A" w:rsidRPr="009F363C">
        <w:rPr>
          <w:rFonts w:ascii="Arial" w:hAnsi="Arial" w:cs="Arial"/>
          <w:b/>
          <w:sz w:val="22"/>
          <w:szCs w:val="22"/>
        </w:rPr>
        <w:t>7</w:t>
      </w:r>
      <w:r w:rsidR="00AD00CE" w:rsidRPr="009F363C">
        <w:rPr>
          <w:rFonts w:ascii="Arial" w:hAnsi="Arial" w:cs="Arial"/>
          <w:b/>
          <w:sz w:val="22"/>
          <w:szCs w:val="22"/>
        </w:rPr>
        <w:t>E]</w:t>
      </w:r>
    </w:p>
    <w:p w14:paraId="089B4C57" w14:textId="77777777" w:rsidR="00C312EA" w:rsidRPr="009F363C" w:rsidRDefault="00BD31C6" w:rsidP="009218ED">
      <w:pPr>
        <w:tabs>
          <w:tab w:val="left" w:pos="432"/>
          <w:tab w:val="left" w:pos="864"/>
        </w:tabs>
        <w:rPr>
          <w:rFonts w:ascii="Arial" w:hAnsi="Arial" w:cs="Arial"/>
          <w:b/>
          <w:sz w:val="22"/>
          <w:szCs w:val="22"/>
        </w:rPr>
      </w:pPr>
      <w:r w:rsidRPr="009F363C">
        <w:rPr>
          <w:rFonts w:ascii="Arial" w:hAnsi="Arial" w:cs="Arial"/>
          <w:b/>
          <w:sz w:val="22"/>
          <w:szCs w:val="22"/>
        </w:rPr>
        <w:t xml:space="preserve">DATE OF PUBLICATION: </w:t>
      </w:r>
      <w:r w:rsidR="009218ED" w:rsidRPr="009F363C">
        <w:rPr>
          <w:rFonts w:ascii="Arial" w:hAnsi="Arial" w:cs="Arial"/>
          <w:b/>
          <w:sz w:val="22"/>
          <w:szCs w:val="22"/>
        </w:rPr>
        <w:t>23</w:t>
      </w:r>
      <w:r w:rsidR="0035646A" w:rsidRPr="009F363C">
        <w:rPr>
          <w:rFonts w:ascii="Arial" w:hAnsi="Arial" w:cs="Arial"/>
          <w:b/>
          <w:sz w:val="22"/>
          <w:szCs w:val="22"/>
        </w:rPr>
        <w:t xml:space="preserve"> </w:t>
      </w:r>
      <w:r w:rsidR="009218ED" w:rsidRPr="009F363C">
        <w:rPr>
          <w:rFonts w:ascii="Arial" w:hAnsi="Arial" w:cs="Arial"/>
          <w:b/>
          <w:sz w:val="22"/>
          <w:szCs w:val="22"/>
        </w:rPr>
        <w:t>JUNE</w:t>
      </w:r>
      <w:r w:rsidR="0035646A" w:rsidRPr="009F363C">
        <w:rPr>
          <w:rFonts w:ascii="Arial" w:hAnsi="Arial" w:cs="Arial"/>
          <w:b/>
          <w:sz w:val="22"/>
          <w:szCs w:val="22"/>
        </w:rPr>
        <w:t xml:space="preserve"> 2017</w:t>
      </w:r>
    </w:p>
    <w:p w14:paraId="48CC6D50" w14:textId="77777777" w:rsidR="0035646A" w:rsidRPr="009F363C" w:rsidRDefault="0035646A" w:rsidP="00A66B7A">
      <w:pPr>
        <w:spacing w:after="267" w:line="276" w:lineRule="auto"/>
        <w:ind w:left="818" w:hanging="818"/>
        <w:rPr>
          <w:rFonts w:ascii="Arial" w:eastAsia="Calibri" w:hAnsi="Arial" w:cs="Arial"/>
          <w:b/>
          <w:sz w:val="22"/>
          <w:szCs w:val="22"/>
          <w:lang w:val="en-ZA"/>
        </w:rPr>
      </w:pPr>
    </w:p>
    <w:p w14:paraId="658A6961" w14:textId="77777777" w:rsidR="00A66B7A" w:rsidRPr="009F363C" w:rsidRDefault="00A66B7A" w:rsidP="00A66B7A">
      <w:pPr>
        <w:spacing w:before="100" w:beforeAutospacing="1" w:after="100" w:afterAutospacing="1" w:line="276" w:lineRule="auto"/>
        <w:ind w:left="816" w:hanging="816"/>
        <w:rPr>
          <w:rFonts w:ascii="Arial" w:eastAsia="Calibri" w:hAnsi="Arial" w:cs="Arial"/>
          <w:b/>
          <w:sz w:val="22"/>
          <w:szCs w:val="22"/>
          <w:lang w:val="en-ZA"/>
        </w:rPr>
      </w:pPr>
      <w:r w:rsidRPr="009F363C">
        <w:rPr>
          <w:rFonts w:ascii="Arial" w:eastAsia="Calibri" w:hAnsi="Arial" w:cs="Arial"/>
          <w:b/>
          <w:sz w:val="22"/>
          <w:szCs w:val="22"/>
          <w:lang w:val="en-ZA"/>
        </w:rPr>
        <w:t>1985.</w:t>
      </w:r>
      <w:r w:rsidRPr="009F363C">
        <w:rPr>
          <w:rFonts w:ascii="Arial" w:eastAsia="Calibri" w:hAnsi="Arial" w:cs="Arial"/>
          <w:b/>
          <w:sz w:val="22"/>
          <w:szCs w:val="22"/>
          <w:lang w:val="en-ZA"/>
        </w:rPr>
        <w:tab/>
        <w:t>Adv A de W Alberts (FF Plus) to ask the Minister of Finance</w:t>
      </w:r>
      <w:proofErr w:type="gramStart"/>
      <w:r w:rsidRPr="009F363C">
        <w:rPr>
          <w:rFonts w:ascii="Arial" w:eastAsia="Calibri" w:hAnsi="Arial" w:cs="Arial"/>
          <w:b/>
          <w:sz w:val="22"/>
          <w:szCs w:val="22"/>
          <w:lang w:val="en-ZA"/>
        </w:rPr>
        <w:t>:†</w:t>
      </w:r>
      <w:proofErr w:type="gramEnd"/>
    </w:p>
    <w:p w14:paraId="09F9ADD8" w14:textId="77777777" w:rsidR="009F363C" w:rsidRDefault="00A66B7A" w:rsidP="009F363C">
      <w:pPr>
        <w:spacing w:before="100" w:beforeAutospacing="1" w:after="100" w:afterAutospacing="1" w:line="276" w:lineRule="auto"/>
        <w:ind w:left="811"/>
        <w:outlineLvl w:val="0"/>
        <w:rPr>
          <w:rFonts w:ascii="Arial" w:eastAsia="Calibri" w:hAnsi="Arial" w:cs="Arial"/>
          <w:sz w:val="22"/>
          <w:szCs w:val="22"/>
          <w:lang w:val="af-ZA"/>
        </w:rPr>
      </w:pPr>
      <w:r w:rsidRPr="009F363C">
        <w:rPr>
          <w:rFonts w:ascii="Arial" w:eastAsia="Calibri" w:hAnsi="Arial" w:cs="Arial"/>
          <w:sz w:val="22"/>
          <w:szCs w:val="22"/>
          <w:lang w:val="af-ZA"/>
        </w:rPr>
        <w:t xml:space="preserve">What steps he is taking to protect pension funds which are controlled by the State and </w:t>
      </w:r>
      <w:r w:rsidR="00FA67D2" w:rsidRPr="009F363C">
        <w:rPr>
          <w:rFonts w:ascii="Arial" w:eastAsia="Calibri" w:hAnsi="Arial" w:cs="Arial"/>
          <w:sz w:val="22"/>
          <w:szCs w:val="22"/>
          <w:lang w:val="af-ZA"/>
        </w:rPr>
        <w:t>S</w:t>
      </w:r>
      <w:r w:rsidRPr="009F363C">
        <w:rPr>
          <w:rFonts w:ascii="Arial" w:eastAsia="Calibri" w:hAnsi="Arial" w:cs="Arial"/>
          <w:sz w:val="22"/>
          <w:szCs w:val="22"/>
          <w:lang w:val="af-ZA"/>
        </w:rPr>
        <w:t>tate-</w:t>
      </w:r>
      <w:r w:rsidR="00FA67D2" w:rsidRPr="009F363C">
        <w:rPr>
          <w:rFonts w:ascii="Arial" w:eastAsia="Calibri" w:hAnsi="Arial" w:cs="Arial"/>
          <w:sz w:val="22"/>
          <w:szCs w:val="22"/>
          <w:lang w:val="af-ZA"/>
        </w:rPr>
        <w:t>O</w:t>
      </w:r>
      <w:r w:rsidRPr="009F363C">
        <w:rPr>
          <w:rFonts w:ascii="Arial" w:eastAsia="Calibri" w:hAnsi="Arial" w:cs="Arial"/>
          <w:sz w:val="22"/>
          <w:szCs w:val="22"/>
          <w:lang w:val="af-ZA"/>
        </w:rPr>
        <w:t xml:space="preserve">wned </w:t>
      </w:r>
      <w:r w:rsidR="00FA67D2" w:rsidRPr="009F363C">
        <w:rPr>
          <w:rFonts w:ascii="Arial" w:eastAsia="Calibri" w:hAnsi="Arial" w:cs="Arial"/>
          <w:sz w:val="22"/>
          <w:szCs w:val="22"/>
          <w:lang w:val="af-ZA"/>
        </w:rPr>
        <w:t>E</w:t>
      </w:r>
      <w:r w:rsidRPr="009F363C">
        <w:rPr>
          <w:rFonts w:ascii="Arial" w:eastAsia="Calibri" w:hAnsi="Arial" w:cs="Arial"/>
          <w:sz w:val="22"/>
          <w:szCs w:val="22"/>
          <w:lang w:val="af-ZA"/>
        </w:rPr>
        <w:t>nterprises against abuse and to ensure that pensioners receive their rightful pension, especially seen in view of those members of the Government Employees Pension Fund who do not have access to the Pension Funds Adjudicator?</w:t>
      </w:r>
      <w:r w:rsidRPr="009F363C">
        <w:rPr>
          <w:rFonts w:ascii="Arial" w:eastAsia="Calibri" w:hAnsi="Arial" w:cs="Arial"/>
          <w:sz w:val="22"/>
          <w:szCs w:val="22"/>
          <w:lang w:val="af-ZA"/>
        </w:rPr>
        <w:tab/>
      </w:r>
      <w:r w:rsidRPr="009F363C">
        <w:rPr>
          <w:rFonts w:ascii="Arial" w:eastAsia="Calibri" w:hAnsi="Arial" w:cs="Arial"/>
          <w:sz w:val="22"/>
          <w:szCs w:val="22"/>
          <w:lang w:val="af-ZA"/>
        </w:rPr>
        <w:tab/>
      </w:r>
      <w:r w:rsidRPr="009F363C">
        <w:rPr>
          <w:rFonts w:ascii="Arial" w:eastAsia="Calibri" w:hAnsi="Arial" w:cs="Arial"/>
          <w:sz w:val="22"/>
          <w:szCs w:val="22"/>
          <w:lang w:val="af-ZA"/>
        </w:rPr>
        <w:tab/>
      </w:r>
      <w:r w:rsidRPr="009F363C">
        <w:rPr>
          <w:rFonts w:ascii="Arial" w:eastAsia="Calibri" w:hAnsi="Arial" w:cs="Arial"/>
          <w:sz w:val="22"/>
          <w:szCs w:val="22"/>
          <w:lang w:val="af-ZA"/>
        </w:rPr>
        <w:tab/>
      </w:r>
      <w:r w:rsidRPr="009F363C">
        <w:rPr>
          <w:rFonts w:ascii="Arial" w:eastAsia="Calibri" w:hAnsi="Arial" w:cs="Arial"/>
          <w:sz w:val="22"/>
          <w:szCs w:val="22"/>
          <w:lang w:val="af-ZA"/>
        </w:rPr>
        <w:tab/>
      </w:r>
      <w:r w:rsidRPr="009F363C">
        <w:rPr>
          <w:rFonts w:ascii="Arial" w:eastAsia="Calibri" w:hAnsi="Arial" w:cs="Arial"/>
          <w:sz w:val="22"/>
          <w:szCs w:val="22"/>
          <w:lang w:val="af-ZA"/>
        </w:rPr>
        <w:tab/>
      </w:r>
      <w:r w:rsidRPr="009F363C">
        <w:rPr>
          <w:rFonts w:ascii="Arial" w:eastAsia="Calibri" w:hAnsi="Arial" w:cs="Arial"/>
          <w:sz w:val="22"/>
          <w:szCs w:val="22"/>
          <w:lang w:val="af-ZA"/>
        </w:rPr>
        <w:tab/>
      </w:r>
      <w:r w:rsidRPr="009F363C">
        <w:rPr>
          <w:rFonts w:ascii="Arial" w:eastAsia="Calibri" w:hAnsi="Arial" w:cs="Arial"/>
          <w:sz w:val="22"/>
          <w:szCs w:val="22"/>
          <w:lang w:val="af-ZA"/>
        </w:rPr>
        <w:tab/>
      </w:r>
      <w:r w:rsidRPr="009F363C">
        <w:rPr>
          <w:rFonts w:ascii="Arial" w:eastAsia="Calibri" w:hAnsi="Arial" w:cs="Arial"/>
          <w:sz w:val="22"/>
          <w:szCs w:val="22"/>
          <w:lang w:val="af-ZA"/>
        </w:rPr>
        <w:tab/>
      </w:r>
      <w:r w:rsidRPr="009F363C">
        <w:rPr>
          <w:rFonts w:ascii="Arial" w:eastAsia="Calibri" w:hAnsi="Arial" w:cs="Arial"/>
          <w:sz w:val="22"/>
          <w:szCs w:val="22"/>
          <w:lang w:val="af-ZA"/>
        </w:rPr>
        <w:tab/>
      </w:r>
      <w:r w:rsidRPr="009F363C">
        <w:rPr>
          <w:rFonts w:ascii="Arial" w:eastAsia="Calibri" w:hAnsi="Arial" w:cs="Arial"/>
          <w:sz w:val="22"/>
          <w:szCs w:val="22"/>
          <w:lang w:val="af-ZA"/>
        </w:rPr>
        <w:tab/>
      </w:r>
      <w:r w:rsidRPr="009F363C">
        <w:rPr>
          <w:rFonts w:ascii="Arial" w:eastAsia="Calibri" w:hAnsi="Arial" w:cs="Arial"/>
          <w:sz w:val="22"/>
          <w:szCs w:val="22"/>
          <w:lang w:val="af-ZA"/>
        </w:rPr>
        <w:tab/>
      </w:r>
      <w:r w:rsidRPr="009F363C">
        <w:rPr>
          <w:rFonts w:ascii="Arial" w:eastAsia="Calibri" w:hAnsi="Arial" w:cs="Arial"/>
          <w:sz w:val="22"/>
          <w:szCs w:val="22"/>
          <w:lang w:val="af-ZA"/>
        </w:rPr>
        <w:tab/>
      </w:r>
      <w:r w:rsidRPr="009F363C">
        <w:rPr>
          <w:rFonts w:ascii="Arial" w:eastAsia="Calibri" w:hAnsi="Arial" w:cs="Arial"/>
          <w:sz w:val="22"/>
          <w:szCs w:val="22"/>
          <w:lang w:val="af-ZA"/>
        </w:rPr>
        <w:tab/>
      </w:r>
    </w:p>
    <w:p w14:paraId="4A8EF7C2" w14:textId="77777777" w:rsidR="00A66B7A" w:rsidRPr="009F363C" w:rsidRDefault="00A66B7A" w:rsidP="009F363C">
      <w:pPr>
        <w:spacing w:before="100" w:beforeAutospacing="1" w:after="100" w:afterAutospacing="1" w:line="276" w:lineRule="auto"/>
        <w:ind w:left="811"/>
        <w:jc w:val="right"/>
        <w:outlineLvl w:val="0"/>
        <w:rPr>
          <w:rFonts w:ascii="Arial" w:eastAsia="Calibri" w:hAnsi="Arial" w:cs="Arial"/>
          <w:sz w:val="22"/>
          <w:szCs w:val="22"/>
          <w:lang w:val="en-ZA"/>
        </w:rPr>
      </w:pPr>
      <w:r w:rsidRPr="009F363C">
        <w:rPr>
          <w:rFonts w:ascii="Arial" w:eastAsia="Calibri" w:hAnsi="Arial" w:cs="Arial"/>
          <w:sz w:val="22"/>
          <w:szCs w:val="22"/>
          <w:lang w:val="af-ZA"/>
        </w:rPr>
        <w:t>NW2197E</w:t>
      </w:r>
    </w:p>
    <w:p w14:paraId="69C3A178" w14:textId="77777777" w:rsidR="001433AE" w:rsidRDefault="001433AE" w:rsidP="00FC2ADE">
      <w:pPr>
        <w:pStyle w:val="BodyTextIndent"/>
        <w:spacing w:line="276" w:lineRule="auto"/>
        <w:ind w:left="0" w:firstLine="0"/>
        <w:rPr>
          <w:rFonts w:ascii="Arial" w:hAnsi="Arial" w:cs="Arial"/>
          <w:b/>
          <w:sz w:val="22"/>
          <w:szCs w:val="22"/>
        </w:rPr>
      </w:pPr>
      <w:r w:rsidRPr="009F363C">
        <w:rPr>
          <w:rFonts w:ascii="Arial" w:hAnsi="Arial" w:cs="Arial"/>
          <w:b/>
          <w:sz w:val="22"/>
          <w:szCs w:val="22"/>
        </w:rPr>
        <w:t>REPLY:</w:t>
      </w:r>
    </w:p>
    <w:p w14:paraId="11166A30" w14:textId="77777777" w:rsidR="009F363C" w:rsidRPr="009F363C" w:rsidRDefault="009F363C" w:rsidP="00FC2ADE">
      <w:pPr>
        <w:pStyle w:val="BodyTextIndent"/>
        <w:spacing w:line="276" w:lineRule="auto"/>
        <w:ind w:left="0" w:firstLine="0"/>
        <w:rPr>
          <w:rFonts w:ascii="Arial" w:hAnsi="Arial" w:cs="Arial"/>
          <w:b/>
          <w:sz w:val="22"/>
          <w:szCs w:val="22"/>
        </w:rPr>
      </w:pPr>
    </w:p>
    <w:p w14:paraId="23F47500" w14:textId="77777777" w:rsidR="00FB322F" w:rsidRPr="009F363C" w:rsidRDefault="00315EAF" w:rsidP="00475FE3">
      <w:pPr>
        <w:pStyle w:val="BodyTextIndent"/>
        <w:spacing w:line="240" w:lineRule="auto"/>
        <w:ind w:left="0" w:firstLine="0"/>
        <w:jc w:val="both"/>
        <w:rPr>
          <w:rFonts w:ascii="Arial" w:hAnsi="Arial" w:cs="Arial"/>
          <w:sz w:val="22"/>
          <w:szCs w:val="22"/>
        </w:rPr>
      </w:pPr>
      <w:r w:rsidRPr="009F363C">
        <w:rPr>
          <w:rFonts w:ascii="Arial" w:hAnsi="Arial" w:cs="Arial"/>
          <w:sz w:val="22"/>
          <w:szCs w:val="22"/>
        </w:rPr>
        <w:t xml:space="preserve">Government has since 2011 stepped up its retirement reform programme and the aim of such reform is to ensure that we </w:t>
      </w:r>
      <w:r w:rsidRPr="009F363C">
        <w:rPr>
          <w:rFonts w:ascii="Arial" w:hAnsi="Arial" w:cs="Arial"/>
          <w:sz w:val="22"/>
          <w:szCs w:val="22"/>
          <w:lang w:val="en-ZA"/>
        </w:rPr>
        <w:t>maximi</w:t>
      </w:r>
      <w:r w:rsidR="00694CB1" w:rsidRPr="009F363C">
        <w:rPr>
          <w:rFonts w:ascii="Arial" w:hAnsi="Arial" w:cs="Arial"/>
          <w:sz w:val="22"/>
          <w:szCs w:val="22"/>
          <w:lang w:val="en-ZA"/>
        </w:rPr>
        <w:t>s</w:t>
      </w:r>
      <w:r w:rsidRPr="009F363C">
        <w:rPr>
          <w:rFonts w:ascii="Arial" w:hAnsi="Arial" w:cs="Arial"/>
          <w:sz w:val="22"/>
          <w:szCs w:val="22"/>
          <w:lang w:val="en-ZA"/>
        </w:rPr>
        <w:t>e</w:t>
      </w:r>
      <w:r w:rsidRPr="009F363C">
        <w:rPr>
          <w:rFonts w:ascii="Arial" w:hAnsi="Arial" w:cs="Arial"/>
          <w:sz w:val="22"/>
          <w:szCs w:val="22"/>
        </w:rPr>
        <w:t xml:space="preserve"> and protect the interest </w:t>
      </w:r>
      <w:r w:rsidR="00543466" w:rsidRPr="009F363C">
        <w:rPr>
          <w:rFonts w:ascii="Arial" w:hAnsi="Arial" w:cs="Arial"/>
          <w:sz w:val="22"/>
          <w:szCs w:val="22"/>
        </w:rPr>
        <w:t>of all retirement funds and their</w:t>
      </w:r>
      <w:r w:rsidRPr="009F363C">
        <w:rPr>
          <w:rFonts w:ascii="Arial" w:hAnsi="Arial" w:cs="Arial"/>
          <w:sz w:val="22"/>
          <w:szCs w:val="22"/>
        </w:rPr>
        <w:t xml:space="preserve"> members.</w:t>
      </w:r>
      <w:r w:rsidR="00467C46" w:rsidRPr="009F363C">
        <w:rPr>
          <w:rFonts w:ascii="Arial" w:hAnsi="Arial" w:cs="Arial"/>
          <w:sz w:val="22"/>
          <w:szCs w:val="22"/>
        </w:rPr>
        <w:t xml:space="preserve">  </w:t>
      </w:r>
      <w:r w:rsidRPr="009F363C">
        <w:rPr>
          <w:rFonts w:ascii="Arial" w:hAnsi="Arial" w:cs="Arial"/>
          <w:sz w:val="22"/>
          <w:szCs w:val="22"/>
        </w:rPr>
        <w:t>The reform aim</w:t>
      </w:r>
      <w:r w:rsidR="00467C46" w:rsidRPr="009F363C">
        <w:rPr>
          <w:rFonts w:ascii="Arial" w:hAnsi="Arial" w:cs="Arial"/>
          <w:sz w:val="22"/>
          <w:szCs w:val="22"/>
        </w:rPr>
        <w:t>s</w:t>
      </w:r>
      <w:r w:rsidRPr="009F363C">
        <w:rPr>
          <w:rFonts w:ascii="Arial" w:hAnsi="Arial" w:cs="Arial"/>
          <w:sz w:val="22"/>
          <w:szCs w:val="22"/>
        </w:rPr>
        <w:t xml:space="preserve"> to protect the funds and</w:t>
      </w:r>
      <w:r w:rsidR="00831A90" w:rsidRPr="009F363C">
        <w:rPr>
          <w:rFonts w:ascii="Arial" w:hAnsi="Arial" w:cs="Arial"/>
          <w:sz w:val="22"/>
          <w:szCs w:val="22"/>
        </w:rPr>
        <w:t xml:space="preserve"> their </w:t>
      </w:r>
      <w:r w:rsidRPr="009F363C">
        <w:rPr>
          <w:rFonts w:ascii="Arial" w:hAnsi="Arial" w:cs="Arial"/>
          <w:sz w:val="22"/>
          <w:szCs w:val="22"/>
        </w:rPr>
        <w:t>members from high and opaque charges, poor governance and poor investment decisions</w:t>
      </w:r>
      <w:r w:rsidR="00E537F2" w:rsidRPr="009F363C">
        <w:rPr>
          <w:rFonts w:ascii="Arial" w:hAnsi="Arial" w:cs="Arial"/>
          <w:sz w:val="22"/>
          <w:szCs w:val="22"/>
        </w:rPr>
        <w:t xml:space="preserve"> or approaches</w:t>
      </w:r>
      <w:r w:rsidRPr="009F363C">
        <w:rPr>
          <w:rFonts w:ascii="Arial" w:hAnsi="Arial" w:cs="Arial"/>
          <w:sz w:val="22"/>
          <w:szCs w:val="22"/>
        </w:rPr>
        <w:t xml:space="preserve"> that </w:t>
      </w:r>
      <w:r w:rsidR="00E537F2" w:rsidRPr="009F363C">
        <w:rPr>
          <w:rFonts w:ascii="Arial" w:hAnsi="Arial" w:cs="Arial"/>
          <w:sz w:val="22"/>
          <w:szCs w:val="22"/>
        </w:rPr>
        <w:t xml:space="preserve">can </w:t>
      </w:r>
      <w:r w:rsidRPr="009F363C">
        <w:rPr>
          <w:rFonts w:ascii="Arial" w:hAnsi="Arial" w:cs="Arial"/>
          <w:sz w:val="22"/>
          <w:szCs w:val="22"/>
        </w:rPr>
        <w:t>benefit</w:t>
      </w:r>
      <w:r w:rsidR="00E537F2" w:rsidRPr="009F363C">
        <w:rPr>
          <w:rFonts w:ascii="Arial" w:hAnsi="Arial" w:cs="Arial"/>
          <w:sz w:val="22"/>
          <w:szCs w:val="22"/>
        </w:rPr>
        <w:t xml:space="preserve"> more</w:t>
      </w:r>
      <w:r w:rsidRPr="009F363C">
        <w:rPr>
          <w:rFonts w:ascii="Arial" w:hAnsi="Arial" w:cs="Arial"/>
          <w:sz w:val="22"/>
          <w:szCs w:val="22"/>
        </w:rPr>
        <w:t xml:space="preserve"> the industry and not members.</w:t>
      </w:r>
      <w:r w:rsidR="00467C46" w:rsidRPr="009F363C">
        <w:rPr>
          <w:rFonts w:ascii="Arial" w:hAnsi="Arial" w:cs="Arial"/>
          <w:sz w:val="22"/>
          <w:szCs w:val="22"/>
        </w:rPr>
        <w:t xml:space="preserve">  </w:t>
      </w:r>
      <w:r w:rsidRPr="009F363C">
        <w:rPr>
          <w:rFonts w:ascii="Arial" w:hAnsi="Arial" w:cs="Arial"/>
          <w:sz w:val="22"/>
          <w:szCs w:val="22"/>
        </w:rPr>
        <w:t xml:space="preserve">This process is ongoing and impacts on both </w:t>
      </w:r>
      <w:r w:rsidR="00FA67D2" w:rsidRPr="009F363C">
        <w:rPr>
          <w:rFonts w:ascii="Arial" w:hAnsi="Arial" w:cs="Arial"/>
          <w:sz w:val="22"/>
          <w:szCs w:val="22"/>
        </w:rPr>
        <w:t>S</w:t>
      </w:r>
      <w:r w:rsidRPr="009F363C">
        <w:rPr>
          <w:rFonts w:ascii="Arial" w:hAnsi="Arial" w:cs="Arial"/>
          <w:sz w:val="22"/>
          <w:szCs w:val="22"/>
        </w:rPr>
        <w:t xml:space="preserve">tate and private retirement funds. </w:t>
      </w:r>
    </w:p>
    <w:p w14:paraId="7439585D" w14:textId="77777777" w:rsidR="00694CB1" w:rsidRPr="009F363C" w:rsidRDefault="00694CB1" w:rsidP="00475FE3">
      <w:pPr>
        <w:pStyle w:val="BodyTextIndent"/>
        <w:spacing w:line="240" w:lineRule="auto"/>
        <w:ind w:left="0" w:firstLine="0"/>
        <w:jc w:val="both"/>
        <w:rPr>
          <w:rFonts w:ascii="Arial" w:hAnsi="Arial" w:cs="Arial"/>
          <w:sz w:val="22"/>
          <w:szCs w:val="22"/>
        </w:rPr>
      </w:pPr>
    </w:p>
    <w:p w14:paraId="56FFE00B" w14:textId="77777777" w:rsidR="00694CB1" w:rsidRPr="009F363C" w:rsidRDefault="00694CB1" w:rsidP="00694CB1">
      <w:pPr>
        <w:pStyle w:val="BodyTextIndent"/>
        <w:spacing w:line="240" w:lineRule="auto"/>
        <w:ind w:left="0" w:firstLine="0"/>
        <w:jc w:val="both"/>
        <w:rPr>
          <w:rFonts w:ascii="Arial" w:hAnsi="Arial" w:cs="Arial"/>
          <w:sz w:val="22"/>
          <w:szCs w:val="22"/>
        </w:rPr>
      </w:pPr>
      <w:r w:rsidRPr="009F363C">
        <w:rPr>
          <w:rFonts w:ascii="Arial" w:hAnsi="Arial" w:cs="Arial"/>
          <w:sz w:val="22"/>
          <w:szCs w:val="22"/>
        </w:rPr>
        <w:t>In the 2013 Budget, as part of our retirement reform proposals,</w:t>
      </w:r>
      <w:r w:rsidR="00E537F2" w:rsidRPr="009F363C">
        <w:rPr>
          <w:rFonts w:ascii="Arial" w:hAnsi="Arial" w:cs="Arial"/>
          <w:sz w:val="22"/>
          <w:szCs w:val="22"/>
        </w:rPr>
        <w:t xml:space="preserve"> </w:t>
      </w:r>
      <w:r w:rsidR="00467C46" w:rsidRPr="009F363C">
        <w:rPr>
          <w:rFonts w:ascii="Arial" w:hAnsi="Arial" w:cs="Arial"/>
          <w:sz w:val="22"/>
          <w:szCs w:val="22"/>
        </w:rPr>
        <w:t xml:space="preserve">the </w:t>
      </w:r>
      <w:r w:rsidR="00E537F2" w:rsidRPr="009F363C">
        <w:rPr>
          <w:rFonts w:ascii="Arial" w:hAnsi="Arial" w:cs="Arial"/>
          <w:sz w:val="22"/>
          <w:szCs w:val="22"/>
        </w:rPr>
        <w:t>National</w:t>
      </w:r>
      <w:r w:rsidRPr="009F363C">
        <w:rPr>
          <w:rFonts w:ascii="Arial" w:hAnsi="Arial" w:cs="Arial"/>
          <w:sz w:val="22"/>
          <w:szCs w:val="22"/>
        </w:rPr>
        <w:t xml:space="preserve"> Treasury indicated the importance of bringing all public sector retirement funds under the purview of the Pension Funds Act (“PFA”), subject to </w:t>
      </w:r>
      <w:r w:rsidR="00E537F2" w:rsidRPr="009F363C">
        <w:rPr>
          <w:rFonts w:ascii="Arial" w:hAnsi="Arial" w:cs="Arial"/>
          <w:sz w:val="22"/>
          <w:szCs w:val="22"/>
        </w:rPr>
        <w:t>financial</w:t>
      </w:r>
      <w:r w:rsidR="00831A90" w:rsidRPr="009F363C">
        <w:rPr>
          <w:rFonts w:ascii="Arial" w:hAnsi="Arial" w:cs="Arial"/>
          <w:sz w:val="22"/>
          <w:szCs w:val="22"/>
        </w:rPr>
        <w:t xml:space="preserve"> feasibility</w:t>
      </w:r>
      <w:r w:rsidRPr="009F363C">
        <w:rPr>
          <w:rFonts w:ascii="Arial" w:hAnsi="Arial" w:cs="Arial"/>
          <w:sz w:val="22"/>
          <w:szCs w:val="22"/>
        </w:rPr>
        <w:t>.</w:t>
      </w:r>
      <w:r w:rsidR="00467C46" w:rsidRPr="009F363C">
        <w:rPr>
          <w:rFonts w:ascii="Arial" w:hAnsi="Arial" w:cs="Arial"/>
          <w:sz w:val="22"/>
          <w:szCs w:val="22"/>
        </w:rPr>
        <w:t xml:space="preserve">  </w:t>
      </w:r>
      <w:r w:rsidRPr="009F363C">
        <w:rPr>
          <w:rFonts w:ascii="Arial" w:hAnsi="Arial" w:cs="Arial"/>
          <w:sz w:val="22"/>
          <w:szCs w:val="22"/>
        </w:rPr>
        <w:t>This approach would enable uniform regulation and supervision under the Financial Services Board, and access to free dispute resolution institutions like the Pension Funds Adjudicator for members of such public sector retirement funds.</w:t>
      </w:r>
    </w:p>
    <w:p w14:paraId="3142F45E" w14:textId="77777777" w:rsidR="004D087A" w:rsidRPr="009F363C" w:rsidRDefault="004D087A" w:rsidP="00137F59">
      <w:pPr>
        <w:pStyle w:val="BodyTextIndent"/>
        <w:spacing w:line="240" w:lineRule="auto"/>
        <w:ind w:left="0" w:firstLine="0"/>
        <w:jc w:val="both"/>
        <w:rPr>
          <w:rFonts w:ascii="Arial" w:hAnsi="Arial" w:cs="Arial"/>
          <w:sz w:val="22"/>
          <w:szCs w:val="22"/>
        </w:rPr>
      </w:pPr>
    </w:p>
    <w:p w14:paraId="70A582FA" w14:textId="77777777" w:rsidR="00724D88" w:rsidRPr="009F363C" w:rsidRDefault="004D087A" w:rsidP="00137F59">
      <w:pPr>
        <w:pStyle w:val="BodyTextIndent"/>
        <w:spacing w:line="240" w:lineRule="auto"/>
        <w:ind w:left="0" w:firstLine="0"/>
        <w:jc w:val="both"/>
        <w:rPr>
          <w:rFonts w:ascii="Arial" w:hAnsi="Arial" w:cs="Arial"/>
          <w:sz w:val="22"/>
          <w:szCs w:val="22"/>
        </w:rPr>
      </w:pPr>
      <w:r w:rsidRPr="009F363C">
        <w:rPr>
          <w:rFonts w:ascii="Arial" w:hAnsi="Arial" w:cs="Arial"/>
          <w:sz w:val="22"/>
          <w:szCs w:val="22"/>
        </w:rPr>
        <w:t xml:space="preserve">There are a few </w:t>
      </w:r>
      <w:r w:rsidR="00FA67D2" w:rsidRPr="009F363C">
        <w:rPr>
          <w:rFonts w:ascii="Arial" w:hAnsi="Arial" w:cs="Arial"/>
          <w:sz w:val="22"/>
          <w:szCs w:val="22"/>
        </w:rPr>
        <w:t>S</w:t>
      </w:r>
      <w:r w:rsidRPr="009F363C">
        <w:rPr>
          <w:rFonts w:ascii="Arial" w:hAnsi="Arial" w:cs="Arial"/>
          <w:sz w:val="22"/>
          <w:szCs w:val="22"/>
        </w:rPr>
        <w:t>tate pension</w:t>
      </w:r>
      <w:r w:rsidR="00315EAF" w:rsidRPr="009F363C">
        <w:rPr>
          <w:rFonts w:ascii="Arial" w:hAnsi="Arial" w:cs="Arial"/>
          <w:sz w:val="22"/>
          <w:szCs w:val="22"/>
        </w:rPr>
        <w:t xml:space="preserve"> </w:t>
      </w:r>
      <w:r w:rsidRPr="009F363C">
        <w:rPr>
          <w:rFonts w:ascii="Arial" w:hAnsi="Arial" w:cs="Arial"/>
          <w:sz w:val="22"/>
          <w:szCs w:val="22"/>
        </w:rPr>
        <w:t xml:space="preserve">funds </w:t>
      </w:r>
      <w:r w:rsidR="00137F59" w:rsidRPr="009F363C">
        <w:rPr>
          <w:rFonts w:ascii="Arial" w:hAnsi="Arial" w:cs="Arial"/>
          <w:sz w:val="22"/>
          <w:szCs w:val="22"/>
        </w:rPr>
        <w:t xml:space="preserve">that fall outside of the </w:t>
      </w:r>
      <w:r w:rsidR="003E6CFD" w:rsidRPr="009F363C">
        <w:rPr>
          <w:rFonts w:ascii="Arial" w:hAnsi="Arial" w:cs="Arial"/>
          <w:sz w:val="22"/>
          <w:szCs w:val="22"/>
        </w:rPr>
        <w:t>PFA</w:t>
      </w:r>
      <w:r w:rsidRPr="009F363C">
        <w:rPr>
          <w:rFonts w:ascii="Arial" w:hAnsi="Arial" w:cs="Arial"/>
          <w:sz w:val="22"/>
          <w:szCs w:val="22"/>
        </w:rPr>
        <w:t>, the</w:t>
      </w:r>
      <w:r w:rsidR="00694CB1" w:rsidRPr="009F363C">
        <w:rPr>
          <w:rFonts w:ascii="Arial" w:hAnsi="Arial" w:cs="Arial"/>
          <w:sz w:val="22"/>
          <w:szCs w:val="22"/>
        </w:rPr>
        <w:t>se are the</w:t>
      </w:r>
      <w:r w:rsidRPr="009F363C">
        <w:rPr>
          <w:rFonts w:ascii="Arial" w:hAnsi="Arial" w:cs="Arial"/>
          <w:sz w:val="22"/>
          <w:szCs w:val="22"/>
        </w:rPr>
        <w:t xml:space="preserve"> </w:t>
      </w:r>
      <w:r w:rsidR="00775E21" w:rsidRPr="009F363C">
        <w:rPr>
          <w:rFonts w:ascii="Arial" w:hAnsi="Arial" w:cs="Arial"/>
          <w:sz w:val="22"/>
          <w:szCs w:val="22"/>
        </w:rPr>
        <w:t>Government Employees Pension Fund</w:t>
      </w:r>
      <w:r w:rsidR="00831A90" w:rsidRPr="009F363C">
        <w:rPr>
          <w:rFonts w:ascii="Arial" w:hAnsi="Arial" w:cs="Arial"/>
          <w:sz w:val="22"/>
          <w:szCs w:val="22"/>
        </w:rPr>
        <w:t xml:space="preserve"> (“GEPF”)</w:t>
      </w:r>
      <w:r w:rsidR="00694CB1" w:rsidRPr="009F363C">
        <w:rPr>
          <w:rFonts w:ascii="Arial" w:hAnsi="Arial" w:cs="Arial"/>
          <w:sz w:val="22"/>
          <w:szCs w:val="22"/>
        </w:rPr>
        <w:t xml:space="preserve">, Transport Pension Fund, </w:t>
      </w:r>
      <w:r w:rsidRPr="009F363C">
        <w:rPr>
          <w:rFonts w:ascii="Arial" w:hAnsi="Arial" w:cs="Arial"/>
          <w:sz w:val="22"/>
          <w:szCs w:val="22"/>
        </w:rPr>
        <w:t xml:space="preserve">Transnet </w:t>
      </w:r>
      <w:r w:rsidR="00694CB1" w:rsidRPr="009F363C">
        <w:rPr>
          <w:rFonts w:ascii="Arial" w:hAnsi="Arial" w:cs="Arial"/>
          <w:sz w:val="22"/>
          <w:szCs w:val="22"/>
        </w:rPr>
        <w:t>Retirement</w:t>
      </w:r>
      <w:r w:rsidRPr="009F363C">
        <w:rPr>
          <w:rFonts w:ascii="Arial" w:hAnsi="Arial" w:cs="Arial"/>
          <w:sz w:val="22"/>
          <w:szCs w:val="22"/>
        </w:rPr>
        <w:t xml:space="preserve"> Fund</w:t>
      </w:r>
      <w:r w:rsidR="00694CB1" w:rsidRPr="009F363C">
        <w:rPr>
          <w:rFonts w:ascii="Arial" w:hAnsi="Arial" w:cs="Arial"/>
          <w:sz w:val="22"/>
          <w:szCs w:val="22"/>
        </w:rPr>
        <w:t>, Transnet Second Defined Benefit Fund, Post Office Pension Fund and Telkom Pension Fund</w:t>
      </w:r>
      <w:r w:rsidRPr="009F363C">
        <w:rPr>
          <w:rFonts w:ascii="Arial" w:hAnsi="Arial" w:cs="Arial"/>
          <w:sz w:val="22"/>
          <w:szCs w:val="22"/>
        </w:rPr>
        <w:t>. Of these</w:t>
      </w:r>
      <w:r w:rsidR="00831A90" w:rsidRPr="009F363C">
        <w:rPr>
          <w:rFonts w:ascii="Arial" w:hAnsi="Arial" w:cs="Arial"/>
          <w:sz w:val="22"/>
          <w:szCs w:val="22"/>
        </w:rPr>
        <w:t>,</w:t>
      </w:r>
      <w:r w:rsidRPr="009F363C">
        <w:rPr>
          <w:rFonts w:ascii="Arial" w:hAnsi="Arial" w:cs="Arial"/>
          <w:sz w:val="22"/>
          <w:szCs w:val="22"/>
        </w:rPr>
        <w:t xml:space="preserve"> only the GEPF falls </w:t>
      </w:r>
      <w:r w:rsidR="00775E21" w:rsidRPr="009F363C">
        <w:rPr>
          <w:rFonts w:ascii="Arial" w:hAnsi="Arial" w:cs="Arial"/>
          <w:sz w:val="22"/>
          <w:szCs w:val="22"/>
        </w:rPr>
        <w:t xml:space="preserve">directly under the Ministry of Finance. </w:t>
      </w:r>
      <w:r w:rsidRPr="009F363C">
        <w:rPr>
          <w:rFonts w:ascii="Arial" w:hAnsi="Arial" w:cs="Arial"/>
          <w:sz w:val="22"/>
          <w:szCs w:val="22"/>
        </w:rPr>
        <w:t xml:space="preserve"> </w:t>
      </w:r>
      <w:r w:rsidR="00775E21" w:rsidRPr="009F363C">
        <w:rPr>
          <w:rFonts w:ascii="Arial" w:hAnsi="Arial" w:cs="Arial"/>
          <w:sz w:val="22"/>
          <w:szCs w:val="22"/>
        </w:rPr>
        <w:t>The other</w:t>
      </w:r>
      <w:r w:rsidR="00D050D7" w:rsidRPr="009F363C">
        <w:rPr>
          <w:rFonts w:ascii="Arial" w:hAnsi="Arial" w:cs="Arial"/>
          <w:sz w:val="22"/>
          <w:szCs w:val="22"/>
        </w:rPr>
        <w:t xml:space="preserve"> public sector</w:t>
      </w:r>
      <w:r w:rsidR="00775E21" w:rsidRPr="009F363C">
        <w:rPr>
          <w:rFonts w:ascii="Arial" w:hAnsi="Arial" w:cs="Arial"/>
          <w:sz w:val="22"/>
          <w:szCs w:val="22"/>
        </w:rPr>
        <w:t xml:space="preserve"> funds fall under</w:t>
      </w:r>
      <w:r w:rsidR="00467C46" w:rsidRPr="009F363C">
        <w:rPr>
          <w:rFonts w:ascii="Arial" w:hAnsi="Arial" w:cs="Arial"/>
          <w:sz w:val="22"/>
          <w:szCs w:val="22"/>
        </w:rPr>
        <w:t xml:space="preserve"> the ambit of </w:t>
      </w:r>
      <w:r w:rsidR="00775E21" w:rsidRPr="009F363C">
        <w:rPr>
          <w:rFonts w:ascii="Arial" w:hAnsi="Arial" w:cs="Arial"/>
          <w:sz w:val="22"/>
          <w:szCs w:val="22"/>
        </w:rPr>
        <w:t xml:space="preserve">the </w:t>
      </w:r>
      <w:r w:rsidRPr="009F363C">
        <w:rPr>
          <w:rFonts w:ascii="Arial" w:hAnsi="Arial" w:cs="Arial"/>
          <w:sz w:val="22"/>
          <w:szCs w:val="22"/>
        </w:rPr>
        <w:t xml:space="preserve">Ministers </w:t>
      </w:r>
      <w:r w:rsidR="00775E21" w:rsidRPr="009F363C">
        <w:rPr>
          <w:rFonts w:ascii="Arial" w:hAnsi="Arial" w:cs="Arial"/>
          <w:sz w:val="22"/>
          <w:szCs w:val="22"/>
        </w:rPr>
        <w:t>of Transport</w:t>
      </w:r>
      <w:r w:rsidR="00D050D7" w:rsidRPr="009F363C">
        <w:rPr>
          <w:rFonts w:ascii="Arial" w:hAnsi="Arial" w:cs="Arial"/>
          <w:sz w:val="22"/>
          <w:szCs w:val="22"/>
        </w:rPr>
        <w:t>,</w:t>
      </w:r>
      <w:r w:rsidR="00775E21" w:rsidRPr="009F363C">
        <w:rPr>
          <w:rFonts w:ascii="Arial" w:hAnsi="Arial" w:cs="Arial"/>
          <w:sz w:val="22"/>
          <w:szCs w:val="22"/>
        </w:rPr>
        <w:t xml:space="preserve"> </w:t>
      </w:r>
      <w:hyperlink r:id="rId7" w:history="1">
        <w:r w:rsidR="00651C27" w:rsidRPr="009F363C">
          <w:rPr>
            <w:rStyle w:val="Hyperlink"/>
            <w:rFonts w:ascii="Arial" w:hAnsi="Arial" w:cs="Arial"/>
            <w:color w:val="auto"/>
            <w:sz w:val="22"/>
            <w:szCs w:val="22"/>
            <w:u w:val="none"/>
          </w:rPr>
          <w:t>Telecommunications and Postal Services</w:t>
        </w:r>
      </w:hyperlink>
      <w:r w:rsidR="00E537F2" w:rsidRPr="009F363C">
        <w:rPr>
          <w:rStyle w:val="Hyperlink"/>
          <w:rFonts w:ascii="Arial" w:hAnsi="Arial" w:cs="Arial"/>
          <w:color w:val="auto"/>
          <w:sz w:val="22"/>
          <w:szCs w:val="22"/>
          <w:u w:val="none"/>
        </w:rPr>
        <w:t>,</w:t>
      </w:r>
      <w:r w:rsidR="00D050D7" w:rsidRPr="009F363C">
        <w:rPr>
          <w:rFonts w:ascii="Arial" w:hAnsi="Arial" w:cs="Arial"/>
          <w:sz w:val="22"/>
          <w:szCs w:val="22"/>
        </w:rPr>
        <w:t xml:space="preserve"> and Public Enterprises</w:t>
      </w:r>
      <w:r w:rsidR="00775E21" w:rsidRPr="009F363C">
        <w:rPr>
          <w:rFonts w:ascii="Arial" w:hAnsi="Arial" w:cs="Arial"/>
          <w:sz w:val="22"/>
          <w:szCs w:val="22"/>
        </w:rPr>
        <w:t xml:space="preserve">, even though </w:t>
      </w:r>
      <w:r w:rsidRPr="009F363C">
        <w:rPr>
          <w:rFonts w:ascii="Arial" w:hAnsi="Arial" w:cs="Arial"/>
          <w:sz w:val="22"/>
          <w:szCs w:val="22"/>
        </w:rPr>
        <w:t>the Minister of Finance does</w:t>
      </w:r>
      <w:r w:rsidR="00775E21" w:rsidRPr="009F363C">
        <w:rPr>
          <w:rFonts w:ascii="Arial" w:hAnsi="Arial" w:cs="Arial"/>
          <w:sz w:val="22"/>
          <w:szCs w:val="22"/>
        </w:rPr>
        <w:t xml:space="preserve"> have </w:t>
      </w:r>
      <w:r w:rsidRPr="009F363C">
        <w:rPr>
          <w:rFonts w:ascii="Arial" w:hAnsi="Arial" w:cs="Arial"/>
          <w:sz w:val="22"/>
          <w:szCs w:val="22"/>
        </w:rPr>
        <w:t xml:space="preserve">an </w:t>
      </w:r>
      <w:r w:rsidR="00775E21" w:rsidRPr="009F363C">
        <w:rPr>
          <w:rFonts w:ascii="Arial" w:hAnsi="Arial" w:cs="Arial"/>
          <w:sz w:val="22"/>
          <w:szCs w:val="22"/>
        </w:rPr>
        <w:t xml:space="preserve">indirect role </w:t>
      </w:r>
      <w:r w:rsidRPr="009F363C">
        <w:rPr>
          <w:rFonts w:ascii="Arial" w:hAnsi="Arial" w:cs="Arial"/>
          <w:sz w:val="22"/>
          <w:szCs w:val="22"/>
        </w:rPr>
        <w:t xml:space="preserve">regarding any decisions that may have </w:t>
      </w:r>
      <w:r w:rsidR="00775E21" w:rsidRPr="009F363C">
        <w:rPr>
          <w:rFonts w:ascii="Arial" w:hAnsi="Arial" w:cs="Arial"/>
          <w:sz w:val="22"/>
          <w:szCs w:val="22"/>
        </w:rPr>
        <w:t>financial implications.</w:t>
      </w:r>
      <w:r w:rsidR="00467C46" w:rsidRPr="009F363C">
        <w:rPr>
          <w:rFonts w:ascii="Arial" w:hAnsi="Arial" w:cs="Arial"/>
          <w:sz w:val="22"/>
          <w:szCs w:val="22"/>
        </w:rPr>
        <w:t xml:space="preserve">  </w:t>
      </w:r>
      <w:r w:rsidRPr="009F363C">
        <w:rPr>
          <w:rFonts w:ascii="Arial" w:hAnsi="Arial" w:cs="Arial"/>
          <w:sz w:val="22"/>
          <w:szCs w:val="22"/>
        </w:rPr>
        <w:t xml:space="preserve">However, all these </w:t>
      </w:r>
      <w:r w:rsidR="00FA67D2" w:rsidRPr="009F363C">
        <w:rPr>
          <w:rFonts w:ascii="Arial" w:hAnsi="Arial" w:cs="Arial"/>
          <w:sz w:val="22"/>
          <w:szCs w:val="22"/>
        </w:rPr>
        <w:t>S</w:t>
      </w:r>
      <w:r w:rsidRPr="009F363C">
        <w:rPr>
          <w:rFonts w:ascii="Arial" w:hAnsi="Arial" w:cs="Arial"/>
          <w:sz w:val="22"/>
          <w:szCs w:val="22"/>
        </w:rPr>
        <w:t xml:space="preserve">tate funds that are not covered by the PFA </w:t>
      </w:r>
      <w:r w:rsidR="002E09C6" w:rsidRPr="009F363C">
        <w:rPr>
          <w:rFonts w:ascii="Arial" w:hAnsi="Arial" w:cs="Arial"/>
          <w:sz w:val="22"/>
          <w:szCs w:val="22"/>
        </w:rPr>
        <w:t xml:space="preserve">generally </w:t>
      </w:r>
      <w:r w:rsidRPr="009F363C">
        <w:rPr>
          <w:rFonts w:ascii="Arial" w:hAnsi="Arial" w:cs="Arial"/>
          <w:sz w:val="22"/>
          <w:szCs w:val="22"/>
        </w:rPr>
        <w:t xml:space="preserve">have a Board (of trustees), whose duty it is to protect the </w:t>
      </w:r>
      <w:r w:rsidR="00694CB1" w:rsidRPr="009F363C">
        <w:rPr>
          <w:rFonts w:ascii="Arial" w:hAnsi="Arial" w:cs="Arial"/>
          <w:sz w:val="22"/>
          <w:szCs w:val="22"/>
        </w:rPr>
        <w:t xml:space="preserve">members and the </w:t>
      </w:r>
      <w:r w:rsidRPr="009F363C">
        <w:rPr>
          <w:rFonts w:ascii="Arial" w:hAnsi="Arial" w:cs="Arial"/>
          <w:sz w:val="22"/>
          <w:szCs w:val="22"/>
        </w:rPr>
        <w:t xml:space="preserve">fund. </w:t>
      </w:r>
    </w:p>
    <w:p w14:paraId="189E9FF1" w14:textId="77777777" w:rsidR="004D087A" w:rsidRPr="009F363C" w:rsidRDefault="004D087A" w:rsidP="00137F59">
      <w:pPr>
        <w:pStyle w:val="BodyTextIndent"/>
        <w:spacing w:line="240" w:lineRule="auto"/>
        <w:ind w:left="0" w:firstLine="0"/>
        <w:jc w:val="both"/>
        <w:rPr>
          <w:rFonts w:ascii="Arial" w:hAnsi="Arial" w:cs="Arial"/>
          <w:sz w:val="22"/>
          <w:szCs w:val="22"/>
        </w:rPr>
      </w:pPr>
      <w:bookmarkStart w:id="0" w:name="_GoBack"/>
      <w:bookmarkEnd w:id="0"/>
    </w:p>
    <w:p w14:paraId="186AA26A" w14:textId="77777777" w:rsidR="004D087A" w:rsidRPr="009F363C" w:rsidRDefault="004D087A" w:rsidP="004D087A">
      <w:pPr>
        <w:pStyle w:val="BodyTextIndent"/>
        <w:spacing w:line="240" w:lineRule="auto"/>
        <w:ind w:left="0" w:firstLine="0"/>
        <w:jc w:val="both"/>
        <w:rPr>
          <w:rFonts w:ascii="Arial" w:hAnsi="Arial" w:cs="Arial"/>
          <w:sz w:val="22"/>
          <w:szCs w:val="22"/>
        </w:rPr>
      </w:pPr>
      <w:r w:rsidRPr="009F363C">
        <w:rPr>
          <w:rFonts w:ascii="Arial" w:hAnsi="Arial" w:cs="Arial"/>
          <w:sz w:val="22"/>
          <w:szCs w:val="22"/>
        </w:rPr>
        <w:t>With the exception of GEPF and Transnet, Telkom and the Post Office have also established Defined Contribution retirement funds that are registered under the PFA, while the ‘old’</w:t>
      </w:r>
      <w:r w:rsidR="00831A90" w:rsidRPr="009F363C">
        <w:rPr>
          <w:rFonts w:ascii="Arial" w:hAnsi="Arial" w:cs="Arial"/>
          <w:sz w:val="22"/>
          <w:szCs w:val="22"/>
        </w:rPr>
        <w:t xml:space="preserve"> </w:t>
      </w:r>
      <w:r w:rsidR="002E09C6" w:rsidRPr="009F363C">
        <w:rPr>
          <w:rFonts w:ascii="Arial" w:hAnsi="Arial" w:cs="Arial"/>
          <w:sz w:val="22"/>
          <w:szCs w:val="22"/>
        </w:rPr>
        <w:t>(</w:t>
      </w:r>
      <w:r w:rsidR="00831A90" w:rsidRPr="009F363C">
        <w:rPr>
          <w:rFonts w:ascii="Arial" w:hAnsi="Arial" w:cs="Arial"/>
          <w:sz w:val="22"/>
          <w:szCs w:val="22"/>
        </w:rPr>
        <w:t>Defined Benefit</w:t>
      </w:r>
      <w:r w:rsidR="002E09C6" w:rsidRPr="009F363C">
        <w:rPr>
          <w:rFonts w:ascii="Arial" w:hAnsi="Arial" w:cs="Arial"/>
          <w:sz w:val="22"/>
          <w:szCs w:val="22"/>
        </w:rPr>
        <w:t>)</w:t>
      </w:r>
      <w:r w:rsidRPr="009F363C">
        <w:rPr>
          <w:rFonts w:ascii="Arial" w:hAnsi="Arial" w:cs="Arial"/>
          <w:sz w:val="22"/>
          <w:szCs w:val="22"/>
        </w:rPr>
        <w:t xml:space="preserve"> funds are closed to new members.</w:t>
      </w:r>
      <w:r w:rsidR="009F363C">
        <w:rPr>
          <w:rFonts w:ascii="Arial" w:hAnsi="Arial" w:cs="Arial"/>
          <w:sz w:val="22"/>
          <w:szCs w:val="22"/>
        </w:rPr>
        <w:t xml:space="preserve">  </w:t>
      </w:r>
      <w:r w:rsidR="00315EAF" w:rsidRPr="009F363C">
        <w:rPr>
          <w:rFonts w:ascii="Arial" w:hAnsi="Arial" w:cs="Arial"/>
          <w:sz w:val="22"/>
          <w:szCs w:val="22"/>
        </w:rPr>
        <w:t xml:space="preserve">This </w:t>
      </w:r>
      <w:r w:rsidRPr="009F363C">
        <w:rPr>
          <w:rFonts w:ascii="Arial" w:hAnsi="Arial" w:cs="Arial"/>
          <w:sz w:val="22"/>
          <w:szCs w:val="22"/>
        </w:rPr>
        <w:t xml:space="preserve">means that the main challenge </w:t>
      </w:r>
      <w:r w:rsidR="00315EAF" w:rsidRPr="009F363C">
        <w:rPr>
          <w:rFonts w:ascii="Arial" w:hAnsi="Arial" w:cs="Arial"/>
          <w:sz w:val="22"/>
          <w:szCs w:val="22"/>
        </w:rPr>
        <w:t xml:space="preserve">with protecting retirement funds </w:t>
      </w:r>
      <w:r w:rsidRPr="009F363C">
        <w:rPr>
          <w:rFonts w:ascii="Arial" w:hAnsi="Arial" w:cs="Arial"/>
          <w:sz w:val="22"/>
          <w:szCs w:val="22"/>
        </w:rPr>
        <w:t xml:space="preserve">remains </w:t>
      </w:r>
      <w:r w:rsidR="00FA67D2" w:rsidRPr="009F363C">
        <w:rPr>
          <w:rFonts w:ascii="Arial" w:hAnsi="Arial" w:cs="Arial"/>
          <w:sz w:val="22"/>
          <w:szCs w:val="22"/>
        </w:rPr>
        <w:t xml:space="preserve">with </w:t>
      </w:r>
      <w:r w:rsidR="00986629" w:rsidRPr="009F363C">
        <w:rPr>
          <w:rFonts w:ascii="Arial" w:hAnsi="Arial" w:cs="Arial"/>
          <w:sz w:val="22"/>
          <w:szCs w:val="22"/>
        </w:rPr>
        <w:t>funds that fall outside the PFA</w:t>
      </w:r>
      <w:r w:rsidRPr="009F363C">
        <w:rPr>
          <w:rFonts w:ascii="Arial" w:hAnsi="Arial" w:cs="Arial"/>
          <w:sz w:val="22"/>
          <w:szCs w:val="22"/>
        </w:rPr>
        <w:t xml:space="preserve">.   </w:t>
      </w:r>
    </w:p>
    <w:p w14:paraId="4DE58962" w14:textId="77777777" w:rsidR="0050424B" w:rsidRPr="009F363C" w:rsidRDefault="0050424B" w:rsidP="008D1865">
      <w:pPr>
        <w:pStyle w:val="BodyTextIndent"/>
        <w:spacing w:line="240" w:lineRule="auto"/>
        <w:ind w:left="0" w:firstLine="0"/>
        <w:jc w:val="both"/>
        <w:rPr>
          <w:rFonts w:ascii="Arial" w:hAnsi="Arial" w:cs="Arial"/>
          <w:b/>
          <w:sz w:val="22"/>
          <w:szCs w:val="22"/>
          <w:lang w:val="en-GB"/>
        </w:rPr>
      </w:pPr>
    </w:p>
    <w:p w14:paraId="79D45C60" w14:textId="77777777" w:rsidR="00467C46" w:rsidRPr="009F363C" w:rsidRDefault="00467C46" w:rsidP="008D1865">
      <w:pPr>
        <w:pStyle w:val="BodyTextIndent"/>
        <w:spacing w:line="240" w:lineRule="auto"/>
        <w:ind w:left="0" w:firstLine="0"/>
        <w:jc w:val="both"/>
        <w:rPr>
          <w:rFonts w:ascii="Arial" w:hAnsi="Arial" w:cs="Arial"/>
          <w:b/>
          <w:sz w:val="22"/>
          <w:szCs w:val="22"/>
          <w:lang w:val="en-GB"/>
        </w:rPr>
      </w:pPr>
    </w:p>
    <w:p w14:paraId="62E8BEAB" w14:textId="77777777" w:rsidR="009218ED" w:rsidRPr="009F363C" w:rsidRDefault="009218ED" w:rsidP="008D1865">
      <w:pPr>
        <w:tabs>
          <w:tab w:val="left" w:pos="432"/>
          <w:tab w:val="left" w:pos="864"/>
        </w:tabs>
        <w:jc w:val="both"/>
        <w:rPr>
          <w:rFonts w:ascii="Arial" w:hAnsi="Arial" w:cs="Arial"/>
          <w:sz w:val="22"/>
          <w:szCs w:val="22"/>
          <w:lang w:val="en-GB"/>
        </w:rPr>
      </w:pPr>
    </w:p>
    <w:p w14:paraId="15E78043" w14:textId="77777777" w:rsidR="00A455BF" w:rsidRDefault="00A455BF" w:rsidP="008D1865">
      <w:pPr>
        <w:tabs>
          <w:tab w:val="left" w:pos="432"/>
          <w:tab w:val="left" w:pos="864"/>
        </w:tabs>
        <w:jc w:val="both"/>
        <w:rPr>
          <w:rFonts w:ascii="Arial" w:hAnsi="Arial" w:cs="Arial"/>
          <w:lang w:val="en-GB"/>
        </w:rPr>
      </w:pPr>
    </w:p>
    <w:p w14:paraId="6D305185" w14:textId="77777777" w:rsidR="00A455BF" w:rsidRDefault="00A455BF" w:rsidP="008D1865">
      <w:pPr>
        <w:tabs>
          <w:tab w:val="left" w:pos="432"/>
          <w:tab w:val="left" w:pos="864"/>
        </w:tabs>
        <w:jc w:val="both"/>
        <w:rPr>
          <w:rFonts w:ascii="Arial" w:hAnsi="Arial" w:cs="Arial"/>
          <w:lang w:val="en-GB"/>
        </w:rPr>
      </w:pPr>
    </w:p>
    <w:p w14:paraId="71B44A95" w14:textId="77777777" w:rsidR="00A455BF" w:rsidRDefault="00A455BF" w:rsidP="008D1865">
      <w:pPr>
        <w:tabs>
          <w:tab w:val="left" w:pos="432"/>
          <w:tab w:val="left" w:pos="864"/>
        </w:tabs>
        <w:jc w:val="both"/>
        <w:rPr>
          <w:rFonts w:ascii="Arial" w:hAnsi="Arial" w:cs="Arial"/>
          <w:lang w:val="en-GB"/>
        </w:rPr>
      </w:pPr>
    </w:p>
    <w:p w14:paraId="2C9E2C4B" w14:textId="77777777" w:rsidR="00A455BF" w:rsidRDefault="00A455BF" w:rsidP="008D1865">
      <w:pPr>
        <w:tabs>
          <w:tab w:val="left" w:pos="432"/>
          <w:tab w:val="left" w:pos="864"/>
        </w:tabs>
        <w:jc w:val="both"/>
        <w:rPr>
          <w:rFonts w:ascii="Arial" w:hAnsi="Arial" w:cs="Arial"/>
          <w:lang w:val="en-GB"/>
        </w:rPr>
      </w:pPr>
    </w:p>
    <w:p w14:paraId="4B15FDF4" w14:textId="77777777" w:rsidR="00A455BF" w:rsidRDefault="00A455BF" w:rsidP="008D1865">
      <w:pPr>
        <w:tabs>
          <w:tab w:val="left" w:pos="432"/>
          <w:tab w:val="left" w:pos="864"/>
        </w:tabs>
        <w:jc w:val="both"/>
        <w:rPr>
          <w:rFonts w:ascii="Arial" w:hAnsi="Arial" w:cs="Arial"/>
          <w:lang w:val="en-GB"/>
        </w:rPr>
      </w:pPr>
    </w:p>
    <w:p w14:paraId="25BC6923" w14:textId="77777777" w:rsidR="00A455BF" w:rsidRDefault="00A455BF" w:rsidP="008D1865">
      <w:pPr>
        <w:tabs>
          <w:tab w:val="left" w:pos="432"/>
          <w:tab w:val="left" w:pos="864"/>
        </w:tabs>
        <w:jc w:val="both"/>
        <w:rPr>
          <w:rFonts w:ascii="Arial" w:hAnsi="Arial" w:cs="Arial"/>
          <w:lang w:val="en-GB"/>
        </w:rPr>
      </w:pPr>
    </w:p>
    <w:p w14:paraId="481A21FB" w14:textId="77777777" w:rsidR="00467C46" w:rsidRDefault="00467C46">
      <w:pPr>
        <w:rPr>
          <w:rFonts w:ascii="Arial" w:hAnsi="Arial" w:cs="Arial"/>
          <w:lang w:val="en-GB"/>
        </w:rPr>
      </w:pPr>
      <w:r>
        <w:rPr>
          <w:rFonts w:ascii="Arial" w:hAnsi="Arial" w:cs="Arial"/>
          <w:lang w:val="en-GB"/>
        </w:rPr>
        <w:br w:type="page"/>
      </w:r>
    </w:p>
    <w:sectPr w:rsidR="00467C46" w:rsidSect="008D1865">
      <w:pgSz w:w="11907" w:h="16839"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E340626"/>
    <w:multiLevelType w:val="hybridMultilevel"/>
    <w:tmpl w:val="F2B259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1A"/>
    <w:rsid w:val="00007028"/>
    <w:rsid w:val="00012C14"/>
    <w:rsid w:val="00020C04"/>
    <w:rsid w:val="0004324C"/>
    <w:rsid w:val="000A41F5"/>
    <w:rsid w:val="000C1EA2"/>
    <w:rsid w:val="000C48D8"/>
    <w:rsid w:val="000F3B14"/>
    <w:rsid w:val="00137F59"/>
    <w:rsid w:val="001423A7"/>
    <w:rsid w:val="001433AE"/>
    <w:rsid w:val="0015250D"/>
    <w:rsid w:val="0015727B"/>
    <w:rsid w:val="001713D2"/>
    <w:rsid w:val="001767B7"/>
    <w:rsid w:val="00190F55"/>
    <w:rsid w:val="001B0917"/>
    <w:rsid w:val="001E3FB5"/>
    <w:rsid w:val="001E6902"/>
    <w:rsid w:val="002577F1"/>
    <w:rsid w:val="0029280D"/>
    <w:rsid w:val="002E09C6"/>
    <w:rsid w:val="002F6E86"/>
    <w:rsid w:val="00312B7B"/>
    <w:rsid w:val="00315EAF"/>
    <w:rsid w:val="003421BD"/>
    <w:rsid w:val="0035646A"/>
    <w:rsid w:val="003B0BEB"/>
    <w:rsid w:val="003E6CFD"/>
    <w:rsid w:val="00426835"/>
    <w:rsid w:val="00467C46"/>
    <w:rsid w:val="00475FE3"/>
    <w:rsid w:val="004900D0"/>
    <w:rsid w:val="004D087A"/>
    <w:rsid w:val="004F53B2"/>
    <w:rsid w:val="0050424B"/>
    <w:rsid w:val="005141B3"/>
    <w:rsid w:val="005217A9"/>
    <w:rsid w:val="00543466"/>
    <w:rsid w:val="00574E19"/>
    <w:rsid w:val="00583F55"/>
    <w:rsid w:val="00613FC6"/>
    <w:rsid w:val="006239F1"/>
    <w:rsid w:val="00624D20"/>
    <w:rsid w:val="0062770E"/>
    <w:rsid w:val="0064275F"/>
    <w:rsid w:val="00647EF2"/>
    <w:rsid w:val="00651C27"/>
    <w:rsid w:val="00652C37"/>
    <w:rsid w:val="00653A85"/>
    <w:rsid w:val="00694CB1"/>
    <w:rsid w:val="007118EA"/>
    <w:rsid w:val="00724D88"/>
    <w:rsid w:val="00726A9C"/>
    <w:rsid w:val="007359BF"/>
    <w:rsid w:val="00775E21"/>
    <w:rsid w:val="007914E0"/>
    <w:rsid w:val="007A32AF"/>
    <w:rsid w:val="007B1BA1"/>
    <w:rsid w:val="007D7D93"/>
    <w:rsid w:val="007F7F60"/>
    <w:rsid w:val="00831A90"/>
    <w:rsid w:val="00891265"/>
    <w:rsid w:val="008C2559"/>
    <w:rsid w:val="008D1865"/>
    <w:rsid w:val="008F472E"/>
    <w:rsid w:val="00911717"/>
    <w:rsid w:val="009163A5"/>
    <w:rsid w:val="009218ED"/>
    <w:rsid w:val="009251FD"/>
    <w:rsid w:val="00940902"/>
    <w:rsid w:val="00953363"/>
    <w:rsid w:val="0096007E"/>
    <w:rsid w:val="009768A1"/>
    <w:rsid w:val="00986629"/>
    <w:rsid w:val="009A18A7"/>
    <w:rsid w:val="009B2D2F"/>
    <w:rsid w:val="009F1555"/>
    <w:rsid w:val="009F363C"/>
    <w:rsid w:val="00A2608D"/>
    <w:rsid w:val="00A27751"/>
    <w:rsid w:val="00A455BF"/>
    <w:rsid w:val="00A525F0"/>
    <w:rsid w:val="00A66B7A"/>
    <w:rsid w:val="00A72B9B"/>
    <w:rsid w:val="00A92010"/>
    <w:rsid w:val="00AD00CE"/>
    <w:rsid w:val="00AD5C9B"/>
    <w:rsid w:val="00B447E6"/>
    <w:rsid w:val="00B77F67"/>
    <w:rsid w:val="00B86725"/>
    <w:rsid w:val="00BD31C6"/>
    <w:rsid w:val="00C17C41"/>
    <w:rsid w:val="00C25C7E"/>
    <w:rsid w:val="00C312EA"/>
    <w:rsid w:val="00C44C35"/>
    <w:rsid w:val="00C60822"/>
    <w:rsid w:val="00CA1466"/>
    <w:rsid w:val="00CA7273"/>
    <w:rsid w:val="00CC2F3E"/>
    <w:rsid w:val="00D050D7"/>
    <w:rsid w:val="00D354D6"/>
    <w:rsid w:val="00D36793"/>
    <w:rsid w:val="00DB2463"/>
    <w:rsid w:val="00DC41DF"/>
    <w:rsid w:val="00DD5296"/>
    <w:rsid w:val="00DD78D2"/>
    <w:rsid w:val="00DF0D26"/>
    <w:rsid w:val="00E537F2"/>
    <w:rsid w:val="00E77DF6"/>
    <w:rsid w:val="00E8352B"/>
    <w:rsid w:val="00EA6A49"/>
    <w:rsid w:val="00F41F10"/>
    <w:rsid w:val="00F51C17"/>
    <w:rsid w:val="00F5571A"/>
    <w:rsid w:val="00F87EA6"/>
    <w:rsid w:val="00F95094"/>
    <w:rsid w:val="00FA67D2"/>
    <w:rsid w:val="00FB322F"/>
    <w:rsid w:val="00FC2064"/>
    <w:rsid w:val="00FC2ADE"/>
    <w:rsid w:val="00FC3C1A"/>
    <w:rsid w:val="00FD24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F19D6"/>
  <w15:docId w15:val="{E44F71E6-C1ED-4AF0-9642-ADE4D08F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F41F10"/>
    <w:rPr>
      <w:rFonts w:ascii="Tahoma" w:hAnsi="Tahoma" w:cs="Tahoma"/>
      <w:sz w:val="16"/>
      <w:szCs w:val="16"/>
    </w:rPr>
  </w:style>
  <w:style w:type="character" w:customStyle="1" w:styleId="BalloonTextChar">
    <w:name w:val="Balloon Text Char"/>
    <w:basedOn w:val="DefaultParagraphFont"/>
    <w:link w:val="BalloonText"/>
    <w:rsid w:val="00F41F10"/>
    <w:rPr>
      <w:rFonts w:ascii="Tahoma" w:hAnsi="Tahoma" w:cs="Tahoma"/>
      <w:sz w:val="16"/>
      <w:szCs w:val="16"/>
      <w:lang w:val="en-US" w:eastAsia="en-US"/>
    </w:rPr>
  </w:style>
  <w:style w:type="character" w:styleId="CommentReference">
    <w:name w:val="annotation reference"/>
    <w:basedOn w:val="DefaultParagraphFont"/>
    <w:semiHidden/>
    <w:unhideWhenUsed/>
    <w:rsid w:val="003E6CFD"/>
    <w:rPr>
      <w:sz w:val="16"/>
      <w:szCs w:val="16"/>
    </w:rPr>
  </w:style>
  <w:style w:type="paragraph" w:styleId="CommentText">
    <w:name w:val="annotation text"/>
    <w:basedOn w:val="Normal"/>
    <w:link w:val="CommentTextChar"/>
    <w:semiHidden/>
    <w:unhideWhenUsed/>
    <w:rsid w:val="003E6CFD"/>
    <w:rPr>
      <w:sz w:val="20"/>
      <w:szCs w:val="20"/>
    </w:rPr>
  </w:style>
  <w:style w:type="character" w:customStyle="1" w:styleId="CommentTextChar">
    <w:name w:val="Comment Text Char"/>
    <w:basedOn w:val="DefaultParagraphFont"/>
    <w:link w:val="CommentText"/>
    <w:semiHidden/>
    <w:rsid w:val="003E6CFD"/>
    <w:rPr>
      <w:lang w:val="en-US" w:eastAsia="en-US"/>
    </w:rPr>
  </w:style>
  <w:style w:type="paragraph" w:styleId="CommentSubject">
    <w:name w:val="annotation subject"/>
    <w:basedOn w:val="CommentText"/>
    <w:next w:val="CommentText"/>
    <w:link w:val="CommentSubjectChar"/>
    <w:semiHidden/>
    <w:unhideWhenUsed/>
    <w:rsid w:val="003E6CFD"/>
    <w:rPr>
      <w:b/>
      <w:bCs/>
    </w:rPr>
  </w:style>
  <w:style w:type="character" w:customStyle="1" w:styleId="CommentSubjectChar">
    <w:name w:val="Comment Subject Char"/>
    <w:basedOn w:val="CommentTextChar"/>
    <w:link w:val="CommentSubject"/>
    <w:semiHidden/>
    <w:rsid w:val="003E6CFD"/>
    <w:rPr>
      <w:b/>
      <w:bCs/>
      <w:lang w:val="en-US" w:eastAsia="en-US"/>
    </w:rPr>
  </w:style>
  <w:style w:type="character" w:styleId="Hyperlink">
    <w:name w:val="Hyperlink"/>
    <w:basedOn w:val="DefaultParagraphFont"/>
    <w:unhideWhenUsed/>
    <w:rsid w:val="00651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v.za/about-government/contact-directory/organisation/2438/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D492C-4520-4202-AF16-81D2E8CB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cp:lastPrinted>2017-07-06T03:55:00Z</cp:lastPrinted>
  <dcterms:created xsi:type="dcterms:W3CDTF">2017-07-12T12:56:00Z</dcterms:created>
  <dcterms:modified xsi:type="dcterms:W3CDTF">2017-07-12T12:56:00Z</dcterms:modified>
</cp:coreProperties>
</file>