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934791"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DA0F22">
        <w:rPr>
          <w:rFonts w:eastAsia="Times New Roman"/>
          <w:b/>
          <w:lang w:val="en-GB" w:eastAsia="en-US"/>
        </w:rPr>
        <w:t>19</w:t>
      </w:r>
      <w:r w:rsidR="00234BDE">
        <w:rPr>
          <w:rFonts w:eastAsia="Times New Roman"/>
          <w:b/>
          <w:lang w:val="en-GB" w:eastAsia="en-US"/>
        </w:rPr>
        <w:t>7</w:t>
      </w:r>
      <w:r w:rsidR="000471B7">
        <w:rPr>
          <w:rFonts w:eastAsia="Times New Roman"/>
          <w:b/>
          <w:lang w:val="en-GB" w:eastAsia="en-US"/>
        </w:rPr>
        <w:t>8</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616CF">
        <w:rPr>
          <w:rFonts w:eastAsia="Times New Roman"/>
          <w:b/>
          <w:lang w:val="en-GB" w:eastAsia="en-US"/>
        </w:rPr>
        <w:t>2</w:t>
      </w:r>
      <w:r w:rsidR="00A67A1F">
        <w:rPr>
          <w:rFonts w:eastAsia="Times New Roman"/>
          <w:b/>
          <w:lang w:val="en-GB" w:eastAsia="en-US"/>
        </w:rPr>
        <w:t>8</w:t>
      </w:r>
      <w:r w:rsidR="004616CF">
        <w:rPr>
          <w:rFonts w:eastAsia="Times New Roman"/>
          <w:b/>
          <w:lang w:val="en-GB" w:eastAsia="en-US"/>
        </w:rPr>
        <w:t xml:space="preserve"> AUGUST </w:t>
      </w:r>
      <w:r w:rsidRPr="00521B42">
        <w:rPr>
          <w:rFonts w:eastAsia="Times New Roman"/>
          <w:b/>
          <w:lang w:val="en-GB" w:eastAsia="en-US"/>
        </w:rPr>
        <w:t>2020</w:t>
      </w:r>
    </w:p>
    <w:p w:rsidR="0045769A" w:rsidRPr="00B05F1A" w:rsidRDefault="0045769A" w:rsidP="0045769A">
      <w:pPr>
        <w:spacing w:before="100" w:beforeAutospacing="1" w:after="100" w:afterAutospacing="1"/>
        <w:ind w:left="720" w:hanging="720"/>
        <w:jc w:val="both"/>
        <w:outlineLvl w:val="0"/>
        <w:rPr>
          <w:rFonts w:eastAsia="Times New Roman"/>
          <w:b/>
        </w:rPr>
      </w:pPr>
      <w:r w:rsidRPr="00B05F1A">
        <w:rPr>
          <w:rFonts w:eastAsia="Times New Roman"/>
          <w:b/>
        </w:rPr>
        <w:t>Mrs M R Mohlala (EFF) to ask the Minister of Human Settlements, Water and Sanitation</w:t>
      </w:r>
      <w:r>
        <w:rPr>
          <w:rFonts w:eastAsia="Times New Roman"/>
          <w:b/>
        </w:rPr>
        <w:fldChar w:fldCharType="begin"/>
      </w:r>
      <w:r>
        <w:instrText xml:space="preserve"> XE "</w:instrText>
      </w:r>
      <w:r w:rsidRPr="000F46B1">
        <w:rPr>
          <w:rFonts w:eastAsia="Times New Roman"/>
          <w:b/>
        </w:rPr>
        <w:instrText>Human Settlements, Water and Sanitation</w:instrText>
      </w:r>
      <w:r>
        <w:instrText xml:space="preserve">" </w:instrText>
      </w:r>
      <w:r>
        <w:rPr>
          <w:rFonts w:eastAsia="Times New Roman"/>
          <w:b/>
        </w:rPr>
        <w:fldChar w:fldCharType="end"/>
      </w:r>
      <w:r w:rsidRPr="00B05F1A">
        <w:rPr>
          <w:rFonts w:eastAsia="Times New Roman"/>
          <w:b/>
        </w:rPr>
        <w:t>:</w:t>
      </w:r>
    </w:p>
    <w:p w:rsidR="00967744" w:rsidRPr="00001D6D" w:rsidRDefault="00967744" w:rsidP="00967744">
      <w:pPr>
        <w:tabs>
          <w:tab w:val="left" w:pos="432"/>
          <w:tab w:val="left" w:pos="720"/>
          <w:tab w:val="left" w:pos="864"/>
        </w:tabs>
        <w:spacing w:before="100" w:beforeAutospacing="1" w:after="100" w:afterAutospacing="1"/>
        <w:jc w:val="both"/>
        <w:rPr>
          <w:sz w:val="22"/>
          <w:szCs w:val="22"/>
        </w:rPr>
      </w:pPr>
      <w:r w:rsidRPr="00001D6D">
        <w:rPr>
          <w:bCs/>
          <w:lang w:val="en-GB"/>
        </w:rPr>
        <w:t>What (a) number of (i) financial and (ii) nonfinancial turnaround strategies has been taken by her department in the past five years and (b) are the relevant costs of the restructuring programmes and turnaround strategies when using external consultants to undertake these interventions?</w:t>
      </w:r>
      <w:r w:rsidRPr="00001D6D">
        <w:rPr>
          <w:bCs/>
          <w:sz w:val="22"/>
          <w:szCs w:val="22"/>
          <w:lang w:val="en-GB"/>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sz w:val="22"/>
          <w:szCs w:val="22"/>
        </w:rPr>
        <w:tab/>
      </w:r>
      <w:r w:rsidRPr="00001D6D">
        <w:rPr>
          <w:b/>
          <w:sz w:val="16"/>
          <w:szCs w:val="16"/>
        </w:rPr>
        <w:t>NW2536E</w:t>
      </w:r>
    </w:p>
    <w:p w:rsidR="00521B42" w:rsidRPr="00001D6D" w:rsidRDefault="00521B42" w:rsidP="00244482">
      <w:pPr>
        <w:tabs>
          <w:tab w:val="left" w:pos="3380"/>
        </w:tabs>
        <w:spacing w:line="336" w:lineRule="auto"/>
        <w:ind w:left="720" w:hanging="720"/>
        <w:jc w:val="both"/>
        <w:rPr>
          <w:rFonts w:eastAsia="Times New Roman"/>
          <w:b/>
          <w:lang w:val="en-GB" w:eastAsia="en-US"/>
        </w:rPr>
      </w:pPr>
      <w:r w:rsidRPr="00001D6D">
        <w:rPr>
          <w:rFonts w:eastAsia="Times New Roman"/>
          <w:b/>
          <w:lang w:val="en-GB" w:eastAsia="en-US"/>
        </w:rPr>
        <w:t>REPLY:</w:t>
      </w:r>
    </w:p>
    <w:p w:rsidR="00967744" w:rsidRDefault="00967744" w:rsidP="00967744">
      <w:pPr>
        <w:tabs>
          <w:tab w:val="left" w:pos="3380"/>
        </w:tabs>
        <w:spacing w:line="320" w:lineRule="atLeast"/>
        <w:ind w:left="720" w:hanging="720"/>
        <w:jc w:val="both"/>
        <w:rPr>
          <w:rFonts w:eastAsia="Times New Roman"/>
          <w:b/>
          <w:lang w:val="en-GB" w:eastAsia="en-US"/>
        </w:rPr>
      </w:pPr>
      <w:r w:rsidRPr="00001D6D">
        <w:rPr>
          <w:rFonts w:eastAsia="Times New Roman"/>
          <w:b/>
          <w:lang w:val="en-GB" w:eastAsia="en-US"/>
        </w:rPr>
        <w:t>Department of Human Settlements (DHS):</w:t>
      </w:r>
    </w:p>
    <w:p w:rsidR="005B4E31" w:rsidRPr="00001D6D" w:rsidRDefault="005B4E31" w:rsidP="00967744">
      <w:pPr>
        <w:tabs>
          <w:tab w:val="left" w:pos="3380"/>
        </w:tabs>
        <w:spacing w:line="320" w:lineRule="atLeast"/>
        <w:ind w:left="720" w:hanging="720"/>
        <w:jc w:val="both"/>
        <w:rPr>
          <w:rFonts w:eastAsia="Times New Roman"/>
          <w:b/>
          <w:lang w:val="en-GB" w:eastAsia="en-US"/>
        </w:rPr>
      </w:pPr>
    </w:p>
    <w:p w:rsidR="00967744" w:rsidRPr="00001D6D" w:rsidRDefault="00967744" w:rsidP="00001D6D">
      <w:pPr>
        <w:pStyle w:val="NoSpacing"/>
        <w:numPr>
          <w:ilvl w:val="0"/>
          <w:numId w:val="10"/>
        </w:numPr>
        <w:spacing w:line="320" w:lineRule="atLeast"/>
        <w:jc w:val="both"/>
      </w:pPr>
      <w:r w:rsidRPr="00001D6D">
        <w:rPr>
          <w:lang w:eastAsia="en-ZA"/>
        </w:rPr>
        <w:t>There was o</w:t>
      </w:r>
      <w:r w:rsidR="00001D6D" w:rsidRPr="00001D6D">
        <w:rPr>
          <w:lang w:eastAsia="en-ZA"/>
        </w:rPr>
        <w:t xml:space="preserve">ne </w:t>
      </w:r>
      <w:r w:rsidRPr="00001D6D">
        <w:rPr>
          <w:lang w:eastAsia="en-ZA"/>
        </w:rPr>
        <w:t xml:space="preserve">Turnaround Strategy and Restructuring Programme undertaken by my Department of Human Settlements in the past 5 years. This was undertaken to align the revised departmental mandate from focusing on </w:t>
      </w:r>
      <w:r w:rsidRPr="00001D6D">
        <w:rPr>
          <w:u w:val="single"/>
          <w:lang w:eastAsia="en-ZA"/>
        </w:rPr>
        <w:t>housing</w:t>
      </w:r>
      <w:r w:rsidRPr="00001D6D">
        <w:rPr>
          <w:lang w:eastAsia="en-ZA"/>
        </w:rPr>
        <w:t xml:space="preserve"> to the </w:t>
      </w:r>
      <w:r w:rsidRPr="00001D6D">
        <w:rPr>
          <w:u w:val="single"/>
          <w:lang w:eastAsia="en-ZA"/>
        </w:rPr>
        <w:t>development of Human Settlements</w:t>
      </w:r>
      <w:r w:rsidRPr="00001D6D">
        <w:rPr>
          <w:lang w:eastAsia="en-ZA"/>
        </w:rPr>
        <w:t>, as well as to align personnel resources in response to the National reduction of Compensation of Employees Budget. Th</w:t>
      </w:r>
      <w:r w:rsidR="00001D6D" w:rsidRPr="00001D6D">
        <w:rPr>
          <w:lang w:eastAsia="en-ZA"/>
        </w:rPr>
        <w:t xml:space="preserve">e process </w:t>
      </w:r>
      <w:r w:rsidRPr="00001D6D">
        <w:rPr>
          <w:lang w:eastAsia="en-ZA"/>
        </w:rPr>
        <w:t>needed an Organisational</w:t>
      </w:r>
      <w:r w:rsidR="00001D6D" w:rsidRPr="00001D6D">
        <w:rPr>
          <w:lang w:eastAsia="en-ZA"/>
        </w:rPr>
        <w:t xml:space="preserve"> Structure Review and Alignment</w:t>
      </w:r>
      <w:r w:rsidRPr="00001D6D">
        <w:rPr>
          <w:lang w:eastAsia="en-ZA"/>
        </w:rPr>
        <w:t>, where there were:</w:t>
      </w:r>
    </w:p>
    <w:p w:rsidR="00967744" w:rsidRPr="00001D6D" w:rsidRDefault="00967744" w:rsidP="00001D6D">
      <w:pPr>
        <w:pStyle w:val="NoSpacing"/>
        <w:spacing w:line="320" w:lineRule="atLeast"/>
        <w:ind w:left="360"/>
        <w:jc w:val="both"/>
      </w:pPr>
    </w:p>
    <w:p w:rsidR="00967744" w:rsidRPr="00001D6D" w:rsidRDefault="00967744" w:rsidP="00001D6D">
      <w:pPr>
        <w:numPr>
          <w:ilvl w:val="0"/>
          <w:numId w:val="13"/>
        </w:numPr>
        <w:jc w:val="both"/>
      </w:pPr>
      <w:r w:rsidRPr="00001D6D">
        <w:t>financial costs for the Organisational Structure Review and Alignment Project, which was done through an external service provider in 2016-2018, due to insufficient capacity internally;</w:t>
      </w:r>
    </w:p>
    <w:p w:rsidR="00967744" w:rsidRPr="00001D6D" w:rsidRDefault="00967744" w:rsidP="00001D6D">
      <w:pPr>
        <w:jc w:val="both"/>
      </w:pPr>
    </w:p>
    <w:p w:rsidR="00967744" w:rsidRPr="00001D6D" w:rsidRDefault="00967744" w:rsidP="00001D6D">
      <w:pPr>
        <w:numPr>
          <w:ilvl w:val="0"/>
          <w:numId w:val="13"/>
        </w:numPr>
        <w:jc w:val="both"/>
      </w:pPr>
      <w:r w:rsidRPr="00001D6D">
        <w:t>non-financial costs for review of the MTSF Strategy, as it was done by existing internal personnel.</w:t>
      </w:r>
    </w:p>
    <w:p w:rsidR="00967744" w:rsidRPr="00001D6D" w:rsidRDefault="00967744" w:rsidP="00967744">
      <w:pPr>
        <w:pStyle w:val="NoSpacing"/>
        <w:spacing w:line="320" w:lineRule="atLeast"/>
        <w:jc w:val="both"/>
        <w:rPr>
          <w:i/>
          <w:lang w:eastAsia="en-ZA"/>
        </w:rPr>
      </w:pPr>
    </w:p>
    <w:p w:rsidR="00967744" w:rsidRPr="00001D6D" w:rsidRDefault="00967744" w:rsidP="00967744">
      <w:pPr>
        <w:pStyle w:val="NoSpacing"/>
        <w:numPr>
          <w:ilvl w:val="0"/>
          <w:numId w:val="10"/>
        </w:numPr>
        <w:spacing w:line="320" w:lineRule="atLeast"/>
        <w:jc w:val="both"/>
        <w:rPr>
          <w:i/>
        </w:rPr>
      </w:pPr>
      <w:r w:rsidRPr="00001D6D">
        <w:rPr>
          <w:color w:val="000000"/>
          <w:lang w:eastAsia="en-ZA"/>
        </w:rPr>
        <w:t xml:space="preserve">The total external service provider costs amounted to R706 299.16 for consultancy services for the </w:t>
      </w:r>
      <w:r w:rsidRPr="00001D6D">
        <w:rPr>
          <w:lang w:eastAsia="en-ZA"/>
        </w:rPr>
        <w:t>Organisational Structure Review and Alignment Project</w:t>
      </w:r>
      <w:r w:rsidR="00001D6D" w:rsidRPr="00001D6D">
        <w:rPr>
          <w:lang w:eastAsia="en-ZA"/>
        </w:rPr>
        <w:t>. The deliverables concluded by the service provider i</w:t>
      </w:r>
      <w:r w:rsidRPr="00001D6D">
        <w:rPr>
          <w:lang w:eastAsia="en-ZA"/>
        </w:rPr>
        <w:t>ncluded:</w:t>
      </w:r>
      <w:r w:rsidRPr="00001D6D">
        <w:rPr>
          <w:i/>
        </w:rPr>
        <w:t xml:space="preserve"> </w:t>
      </w:r>
    </w:p>
    <w:p w:rsidR="00967744" w:rsidRPr="00001D6D" w:rsidRDefault="00967744" w:rsidP="00967744">
      <w:pPr>
        <w:pStyle w:val="NoSpacing"/>
        <w:spacing w:line="320" w:lineRule="atLeast"/>
        <w:ind w:left="720" w:firstLine="720"/>
        <w:jc w:val="both"/>
        <w:rPr>
          <w:i/>
        </w:rPr>
      </w:pPr>
    </w:p>
    <w:p w:rsidR="00967744" w:rsidRPr="00001D6D" w:rsidRDefault="00967744" w:rsidP="00967744">
      <w:pPr>
        <w:pStyle w:val="NoSpacing"/>
        <w:numPr>
          <w:ilvl w:val="0"/>
          <w:numId w:val="12"/>
        </w:numPr>
        <w:spacing w:line="320" w:lineRule="atLeast"/>
        <w:jc w:val="both"/>
      </w:pPr>
      <w:r w:rsidRPr="00001D6D">
        <w:lastRenderedPageBreak/>
        <w:t>Recommendations report</w:t>
      </w:r>
    </w:p>
    <w:p w:rsidR="00967744" w:rsidRPr="00001D6D" w:rsidRDefault="00967744" w:rsidP="00967744">
      <w:pPr>
        <w:pStyle w:val="NoSpacing"/>
        <w:numPr>
          <w:ilvl w:val="0"/>
          <w:numId w:val="12"/>
        </w:numPr>
        <w:spacing w:line="320" w:lineRule="atLeast"/>
        <w:jc w:val="both"/>
      </w:pPr>
      <w:r w:rsidRPr="00001D6D">
        <w:rPr>
          <w:lang w:eastAsia="en-ZA"/>
        </w:rPr>
        <w:t>Business Case</w:t>
      </w:r>
    </w:p>
    <w:p w:rsidR="00967744" w:rsidRPr="00001D6D" w:rsidRDefault="00967744" w:rsidP="00967744">
      <w:pPr>
        <w:pStyle w:val="NoSpacing"/>
        <w:numPr>
          <w:ilvl w:val="0"/>
          <w:numId w:val="12"/>
        </w:numPr>
        <w:spacing w:line="320" w:lineRule="atLeast"/>
        <w:jc w:val="both"/>
      </w:pPr>
      <w:r w:rsidRPr="00001D6D">
        <w:rPr>
          <w:lang w:eastAsia="en-ZA"/>
        </w:rPr>
        <w:t>Macro Organisational Structure</w:t>
      </w:r>
    </w:p>
    <w:p w:rsidR="00967744" w:rsidRPr="00001D6D" w:rsidRDefault="00967744" w:rsidP="00967744">
      <w:pPr>
        <w:pStyle w:val="NoSpacing"/>
        <w:numPr>
          <w:ilvl w:val="0"/>
          <w:numId w:val="12"/>
        </w:numPr>
        <w:spacing w:line="320" w:lineRule="atLeast"/>
        <w:jc w:val="both"/>
      </w:pPr>
      <w:r w:rsidRPr="00001D6D">
        <w:rPr>
          <w:lang w:eastAsia="en-ZA"/>
        </w:rPr>
        <w:t>Micro Organisational Structure</w:t>
      </w:r>
    </w:p>
    <w:p w:rsidR="00967744" w:rsidRPr="00001D6D" w:rsidRDefault="00967744" w:rsidP="00967744">
      <w:pPr>
        <w:pStyle w:val="NoSpacing"/>
        <w:numPr>
          <w:ilvl w:val="0"/>
          <w:numId w:val="12"/>
        </w:numPr>
        <w:spacing w:line="320" w:lineRule="atLeast"/>
        <w:jc w:val="both"/>
      </w:pPr>
      <w:r w:rsidRPr="00001D6D">
        <w:rPr>
          <w:lang w:eastAsia="en-ZA"/>
        </w:rPr>
        <w:t>Job Descriptions and reports</w:t>
      </w:r>
    </w:p>
    <w:p w:rsidR="00967744" w:rsidRPr="00001D6D" w:rsidRDefault="00967744" w:rsidP="00967744">
      <w:pPr>
        <w:pStyle w:val="NoSpacing"/>
        <w:numPr>
          <w:ilvl w:val="0"/>
          <w:numId w:val="12"/>
        </w:numPr>
        <w:spacing w:line="320" w:lineRule="atLeast"/>
        <w:jc w:val="both"/>
      </w:pPr>
      <w:r w:rsidRPr="00001D6D">
        <w:rPr>
          <w:lang w:eastAsia="en-ZA"/>
        </w:rPr>
        <w:t>Job Evaluation and reports</w:t>
      </w:r>
    </w:p>
    <w:p w:rsidR="00967744" w:rsidRPr="00001D6D" w:rsidRDefault="00967744" w:rsidP="00967744">
      <w:pPr>
        <w:pStyle w:val="NoSpacing"/>
        <w:numPr>
          <w:ilvl w:val="0"/>
          <w:numId w:val="12"/>
        </w:numPr>
        <w:spacing w:line="320" w:lineRule="atLeast"/>
        <w:jc w:val="both"/>
      </w:pPr>
      <w:r w:rsidRPr="00001D6D">
        <w:t>Competency report</w:t>
      </w:r>
    </w:p>
    <w:p w:rsidR="00967744" w:rsidRPr="00001D6D" w:rsidRDefault="00967744" w:rsidP="00967744">
      <w:pPr>
        <w:pStyle w:val="NoSpacing"/>
        <w:numPr>
          <w:ilvl w:val="0"/>
          <w:numId w:val="12"/>
        </w:numPr>
        <w:spacing w:line="320" w:lineRule="atLeast"/>
        <w:jc w:val="both"/>
      </w:pPr>
      <w:r w:rsidRPr="00001D6D">
        <w:t>Implementation Plan and Migration strategy</w:t>
      </w:r>
    </w:p>
    <w:p w:rsidR="00967744" w:rsidRPr="00001D6D" w:rsidRDefault="00967744" w:rsidP="00967744">
      <w:pPr>
        <w:pStyle w:val="NoSpacing"/>
        <w:numPr>
          <w:ilvl w:val="0"/>
          <w:numId w:val="12"/>
        </w:numPr>
        <w:spacing w:line="320" w:lineRule="atLeast"/>
        <w:jc w:val="both"/>
      </w:pPr>
      <w:r w:rsidRPr="00001D6D">
        <w:t>Human Resource Plan (draft)</w:t>
      </w:r>
    </w:p>
    <w:p w:rsidR="00967744" w:rsidRPr="00001D6D" w:rsidRDefault="00967744" w:rsidP="00967744">
      <w:pPr>
        <w:pStyle w:val="NoSpacing"/>
        <w:numPr>
          <w:ilvl w:val="0"/>
          <w:numId w:val="12"/>
        </w:numPr>
        <w:spacing w:line="320" w:lineRule="atLeast"/>
        <w:jc w:val="both"/>
      </w:pPr>
      <w:r w:rsidRPr="00001D6D">
        <w:t>Employment Equity Plan (draft)</w:t>
      </w:r>
    </w:p>
    <w:p w:rsidR="00967744" w:rsidRPr="00001D6D" w:rsidRDefault="00967744" w:rsidP="00967744">
      <w:pPr>
        <w:pStyle w:val="NoSpacing"/>
        <w:numPr>
          <w:ilvl w:val="0"/>
          <w:numId w:val="12"/>
        </w:numPr>
        <w:spacing w:line="320" w:lineRule="atLeast"/>
        <w:jc w:val="both"/>
      </w:pPr>
      <w:r w:rsidRPr="00001D6D">
        <w:t>Project close-out report</w:t>
      </w:r>
    </w:p>
    <w:p w:rsidR="00967744" w:rsidRPr="00001D6D" w:rsidRDefault="00967744" w:rsidP="00967744">
      <w:pPr>
        <w:pStyle w:val="NoSpacing"/>
        <w:numPr>
          <w:ilvl w:val="0"/>
          <w:numId w:val="12"/>
        </w:numPr>
        <w:spacing w:line="320" w:lineRule="atLeast"/>
        <w:jc w:val="both"/>
      </w:pPr>
      <w:r w:rsidRPr="00001D6D">
        <w:t>Costing model</w:t>
      </w:r>
    </w:p>
    <w:p w:rsidR="00967744" w:rsidRPr="00001D6D" w:rsidRDefault="00967744" w:rsidP="00967744">
      <w:pPr>
        <w:numPr>
          <w:ilvl w:val="0"/>
          <w:numId w:val="12"/>
        </w:numPr>
        <w:spacing w:line="320" w:lineRule="atLeast"/>
        <w:rPr>
          <w:b/>
        </w:rPr>
      </w:pPr>
      <w:r w:rsidRPr="00001D6D">
        <w:t>Project administration reports</w:t>
      </w:r>
    </w:p>
    <w:p w:rsidR="00967744" w:rsidRPr="00001D6D" w:rsidRDefault="00967744" w:rsidP="00967744"/>
    <w:p w:rsidR="00001D6D" w:rsidRPr="00001D6D" w:rsidRDefault="00001D6D" w:rsidP="00001D6D">
      <w:pPr>
        <w:tabs>
          <w:tab w:val="left" w:pos="1418"/>
        </w:tabs>
        <w:spacing w:line="320" w:lineRule="exact"/>
        <w:jc w:val="both"/>
        <w:rPr>
          <w:b/>
        </w:rPr>
      </w:pPr>
    </w:p>
    <w:p w:rsidR="00001D6D" w:rsidRPr="00001D6D" w:rsidRDefault="00001D6D" w:rsidP="00001D6D">
      <w:pPr>
        <w:tabs>
          <w:tab w:val="left" w:pos="1418"/>
        </w:tabs>
        <w:spacing w:line="320" w:lineRule="exact"/>
        <w:jc w:val="both"/>
        <w:rPr>
          <w:b/>
        </w:rPr>
      </w:pPr>
      <w:r w:rsidRPr="00001D6D">
        <w:rPr>
          <w:b/>
        </w:rPr>
        <w:t>Department of Water and Sanitation:</w:t>
      </w:r>
    </w:p>
    <w:p w:rsidR="00001D6D" w:rsidRPr="00001D6D" w:rsidRDefault="00001D6D" w:rsidP="00001D6D">
      <w:pPr>
        <w:tabs>
          <w:tab w:val="left" w:pos="1418"/>
        </w:tabs>
        <w:spacing w:line="320" w:lineRule="exact"/>
        <w:jc w:val="both"/>
        <w:rPr>
          <w:b/>
        </w:rPr>
      </w:pPr>
    </w:p>
    <w:p w:rsidR="00967744" w:rsidRPr="00001D6D" w:rsidRDefault="00967744" w:rsidP="00001D6D">
      <w:pPr>
        <w:tabs>
          <w:tab w:val="left" w:pos="1418"/>
        </w:tabs>
        <w:spacing w:line="320" w:lineRule="exact"/>
        <w:ind w:left="720" w:hanging="720"/>
        <w:jc w:val="both"/>
        <w:rPr>
          <w:color w:val="000000"/>
        </w:rPr>
      </w:pPr>
      <w:r w:rsidRPr="00001D6D">
        <w:t>(a)(i)</w:t>
      </w:r>
      <w:r w:rsidRPr="00001D6D">
        <w:rPr>
          <w:color w:val="1F497D"/>
        </w:rPr>
        <w:t xml:space="preserve"> </w:t>
      </w:r>
      <w:r w:rsidRPr="00001D6D">
        <w:rPr>
          <w:color w:val="1F497D"/>
        </w:rPr>
        <w:tab/>
      </w:r>
      <w:r w:rsidRPr="00001D6D">
        <w:rPr>
          <w:color w:val="000000"/>
        </w:rPr>
        <w:t xml:space="preserve">In 2019 the Department of Water and Sanitation (DWS), in consultation with National Treasury, developed a financial turnaround strategy that is currently being implemented. DWS has not sought the services of consultants. </w:t>
      </w:r>
    </w:p>
    <w:p w:rsidR="00967744" w:rsidRPr="00001D6D" w:rsidRDefault="00967744" w:rsidP="00001D6D">
      <w:pPr>
        <w:tabs>
          <w:tab w:val="left" w:pos="1418"/>
        </w:tabs>
        <w:spacing w:line="320" w:lineRule="exact"/>
        <w:ind w:left="1418" w:hanging="709"/>
        <w:jc w:val="both"/>
      </w:pPr>
    </w:p>
    <w:p w:rsidR="00967744" w:rsidRPr="00001D6D" w:rsidRDefault="00967744" w:rsidP="00001D6D">
      <w:pPr>
        <w:tabs>
          <w:tab w:val="left" w:pos="1418"/>
        </w:tabs>
        <w:spacing w:line="320" w:lineRule="exact"/>
        <w:ind w:left="709" w:hanging="709"/>
        <w:jc w:val="both"/>
      </w:pPr>
      <w:r w:rsidRPr="00001D6D">
        <w:t>(ii)</w:t>
      </w:r>
      <w:r w:rsidRPr="00001D6D">
        <w:tab/>
        <w:t xml:space="preserve">The department is currently in the process of reviewing its organisational structure using internal resources.  </w:t>
      </w:r>
    </w:p>
    <w:p w:rsidR="00967744" w:rsidRPr="00001D6D" w:rsidRDefault="00967744" w:rsidP="00001D6D">
      <w:pPr>
        <w:tabs>
          <w:tab w:val="left" w:pos="1418"/>
        </w:tabs>
        <w:spacing w:line="320" w:lineRule="exact"/>
        <w:ind w:left="1418" w:hanging="709"/>
        <w:jc w:val="both"/>
      </w:pPr>
    </w:p>
    <w:p w:rsidR="00967744" w:rsidRPr="00001D6D" w:rsidRDefault="00001D6D" w:rsidP="00001D6D">
      <w:pPr>
        <w:tabs>
          <w:tab w:val="left" w:pos="1418"/>
        </w:tabs>
        <w:spacing w:line="320" w:lineRule="exact"/>
        <w:ind w:left="709" w:hanging="709"/>
        <w:jc w:val="both"/>
      </w:pPr>
      <w:r w:rsidRPr="00001D6D">
        <w:t>(b)</w:t>
      </w:r>
      <w:r w:rsidRPr="00001D6D">
        <w:tab/>
      </w:r>
      <w:r w:rsidR="00967744" w:rsidRPr="00001D6D">
        <w:t xml:space="preserve">The </w:t>
      </w:r>
      <w:r w:rsidR="00967744" w:rsidRPr="00001D6D">
        <w:rPr>
          <w:color w:val="000000"/>
        </w:rPr>
        <w:t>DWS has not sought the services of consultants</w:t>
      </w:r>
      <w:r w:rsidR="00967744" w:rsidRPr="00001D6D">
        <w:t xml:space="preserve"> for the review of the structure or the financial and non-financial turnaround strategies in the past five years. </w:t>
      </w:r>
    </w:p>
    <w:p w:rsidR="00967744" w:rsidRDefault="00967744" w:rsidP="00967744">
      <w:pPr>
        <w:rPr>
          <w:b/>
        </w:rPr>
      </w:pPr>
    </w:p>
    <w:p w:rsidR="00967744" w:rsidRDefault="00967744" w:rsidP="00244482">
      <w:pPr>
        <w:tabs>
          <w:tab w:val="left" w:pos="3380"/>
        </w:tabs>
        <w:spacing w:line="336" w:lineRule="auto"/>
        <w:ind w:left="720" w:hanging="720"/>
        <w:jc w:val="both"/>
        <w:rPr>
          <w:rFonts w:eastAsia="Times New Roman"/>
          <w:b/>
          <w:lang w:val="en-GB" w:eastAsia="en-US"/>
        </w:rPr>
      </w:pPr>
    </w:p>
    <w:sectPr w:rsidR="00967744" w:rsidSect="00854762">
      <w:headerReference w:type="even" r:id="rId8"/>
      <w:headerReference w:type="default" r:id="rId9"/>
      <w:footerReference w:type="even" r:id="rId10"/>
      <w:footerReference w:type="default" r:id="rId11"/>
      <w:headerReference w:type="first" r:id="rId12"/>
      <w:footerReference w:type="first" r:id="rId13"/>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3C" w:rsidRDefault="0057353C" w:rsidP="00DD601E">
      <w:r>
        <w:separator/>
      </w:r>
    </w:p>
  </w:endnote>
  <w:endnote w:type="continuationSeparator" w:id="1">
    <w:p w:rsidR="0057353C" w:rsidRDefault="0057353C"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3C" w:rsidRDefault="0057353C" w:rsidP="00DD601E">
      <w:r>
        <w:separator/>
      </w:r>
    </w:p>
  </w:footnote>
  <w:footnote w:type="continuationSeparator" w:id="1">
    <w:p w:rsidR="0057353C" w:rsidRDefault="0057353C"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206C4E">
      <w:rPr>
        <w:rFonts w:ascii="Times New Roman" w:hAnsi="Times New Roman"/>
        <w:lang w:val="en-US"/>
      </w:rPr>
      <w:t>9</w:t>
    </w:r>
    <w:r w:rsidR="00234BDE">
      <w:rPr>
        <w:rFonts w:ascii="Times New Roman" w:hAnsi="Times New Roman"/>
        <w:lang w:val="en-US"/>
      </w:rPr>
      <w:t>7</w:t>
    </w:r>
    <w:r w:rsidR="000471B7">
      <w:rPr>
        <w:rFonts w:ascii="Times New Roman" w:hAnsi="Times New Roman"/>
        <w:lang w:val="en-US"/>
      </w:rPr>
      <w:t>8</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B1916"/>
    <w:multiLevelType w:val="hybridMultilevel"/>
    <w:tmpl w:val="1F44E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17363"/>
    <w:multiLevelType w:val="hybridMultilevel"/>
    <w:tmpl w:val="E4C601B4"/>
    <w:lvl w:ilvl="0" w:tplc="FE721E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173D51"/>
    <w:multiLevelType w:val="hybridMultilevel"/>
    <w:tmpl w:val="9ED4B6A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76076C8"/>
    <w:multiLevelType w:val="hybridMultilevel"/>
    <w:tmpl w:val="FCFE506C"/>
    <w:lvl w:ilvl="0" w:tplc="95E8621C">
      <w:start w:val="1"/>
      <w:numFmt w:val="lowerLetter"/>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3"/>
  </w:num>
  <w:num w:numId="5">
    <w:abstractNumId w:val="0"/>
  </w:num>
  <w:num w:numId="6">
    <w:abstractNumId w:val="9"/>
  </w:num>
  <w:num w:numId="7">
    <w:abstractNumId w:val="10"/>
  </w:num>
  <w:num w:numId="8">
    <w:abstractNumId w:val="8"/>
  </w:num>
  <w:num w:numId="9">
    <w:abstractNumId w:val="1"/>
  </w:num>
  <w:num w:numId="10">
    <w:abstractNumId w:val="12"/>
  </w:num>
  <w:num w:numId="11">
    <w:abstractNumId w:val="4"/>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1D6D"/>
    <w:rsid w:val="000043EC"/>
    <w:rsid w:val="0002619F"/>
    <w:rsid w:val="0004342F"/>
    <w:rsid w:val="00046382"/>
    <w:rsid w:val="000471B7"/>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3E7B33"/>
    <w:rsid w:val="004123B9"/>
    <w:rsid w:val="00412FC4"/>
    <w:rsid w:val="004201D9"/>
    <w:rsid w:val="004243FD"/>
    <w:rsid w:val="00435C84"/>
    <w:rsid w:val="00437A05"/>
    <w:rsid w:val="0045769A"/>
    <w:rsid w:val="004616CF"/>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65757"/>
    <w:rsid w:val="0057353C"/>
    <w:rsid w:val="00590C03"/>
    <w:rsid w:val="00593862"/>
    <w:rsid w:val="005A1C92"/>
    <w:rsid w:val="005B14CF"/>
    <w:rsid w:val="005B27E5"/>
    <w:rsid w:val="005B32B4"/>
    <w:rsid w:val="005B4E31"/>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B76DB"/>
    <w:rsid w:val="006B7C54"/>
    <w:rsid w:val="006C06E7"/>
    <w:rsid w:val="006C608C"/>
    <w:rsid w:val="006D21AB"/>
    <w:rsid w:val="006E7915"/>
    <w:rsid w:val="006E79FE"/>
    <w:rsid w:val="006F4BD2"/>
    <w:rsid w:val="006F74D3"/>
    <w:rsid w:val="007016B8"/>
    <w:rsid w:val="00701F2A"/>
    <w:rsid w:val="0073418C"/>
    <w:rsid w:val="0074602B"/>
    <w:rsid w:val="00754A9C"/>
    <w:rsid w:val="00770CCC"/>
    <w:rsid w:val="007767AF"/>
    <w:rsid w:val="007A473E"/>
    <w:rsid w:val="007C1A04"/>
    <w:rsid w:val="007D7842"/>
    <w:rsid w:val="007D7D18"/>
    <w:rsid w:val="007F525F"/>
    <w:rsid w:val="007F53FB"/>
    <w:rsid w:val="007F58E5"/>
    <w:rsid w:val="00816D0C"/>
    <w:rsid w:val="0082294C"/>
    <w:rsid w:val="00823C33"/>
    <w:rsid w:val="008343BA"/>
    <w:rsid w:val="00844B49"/>
    <w:rsid w:val="00854326"/>
    <w:rsid w:val="00854762"/>
    <w:rsid w:val="00867420"/>
    <w:rsid w:val="00870A4F"/>
    <w:rsid w:val="00871BC4"/>
    <w:rsid w:val="00890C50"/>
    <w:rsid w:val="0089542C"/>
    <w:rsid w:val="008B1701"/>
    <w:rsid w:val="008C05E2"/>
    <w:rsid w:val="008C1BC8"/>
    <w:rsid w:val="008C4963"/>
    <w:rsid w:val="008D2239"/>
    <w:rsid w:val="008D55D4"/>
    <w:rsid w:val="008E7ED7"/>
    <w:rsid w:val="008F2869"/>
    <w:rsid w:val="00914949"/>
    <w:rsid w:val="00916F4A"/>
    <w:rsid w:val="00921425"/>
    <w:rsid w:val="00924324"/>
    <w:rsid w:val="00932EC5"/>
    <w:rsid w:val="00934791"/>
    <w:rsid w:val="009453A8"/>
    <w:rsid w:val="00963846"/>
    <w:rsid w:val="00967744"/>
    <w:rsid w:val="00970A9C"/>
    <w:rsid w:val="00976209"/>
    <w:rsid w:val="00977AC3"/>
    <w:rsid w:val="009B6185"/>
    <w:rsid w:val="009C43AD"/>
    <w:rsid w:val="009C45B2"/>
    <w:rsid w:val="009C5163"/>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67A1F"/>
    <w:rsid w:val="00A76E09"/>
    <w:rsid w:val="00A969D0"/>
    <w:rsid w:val="00AA429C"/>
    <w:rsid w:val="00AB78D5"/>
    <w:rsid w:val="00AC0C9C"/>
    <w:rsid w:val="00AC313B"/>
    <w:rsid w:val="00AD00AF"/>
    <w:rsid w:val="00AE3D67"/>
    <w:rsid w:val="00AE47DB"/>
    <w:rsid w:val="00AE7A8B"/>
    <w:rsid w:val="00AF79AE"/>
    <w:rsid w:val="00B1301C"/>
    <w:rsid w:val="00B15583"/>
    <w:rsid w:val="00B175C2"/>
    <w:rsid w:val="00B22EEA"/>
    <w:rsid w:val="00B313AE"/>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BF5CE4"/>
    <w:rsid w:val="00C0438B"/>
    <w:rsid w:val="00C055F9"/>
    <w:rsid w:val="00C114AC"/>
    <w:rsid w:val="00C20F68"/>
    <w:rsid w:val="00C254A6"/>
    <w:rsid w:val="00C31F01"/>
    <w:rsid w:val="00C372D4"/>
    <w:rsid w:val="00C4202F"/>
    <w:rsid w:val="00C461BD"/>
    <w:rsid w:val="00C7207B"/>
    <w:rsid w:val="00C81F02"/>
    <w:rsid w:val="00C84582"/>
    <w:rsid w:val="00C85B4C"/>
    <w:rsid w:val="00C87135"/>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A704A"/>
    <w:rsid w:val="00EC3E5C"/>
    <w:rsid w:val="00EC5A92"/>
    <w:rsid w:val="00EF3813"/>
    <w:rsid w:val="00F00A01"/>
    <w:rsid w:val="00F03A48"/>
    <w:rsid w:val="00F07272"/>
    <w:rsid w:val="00F109AA"/>
    <w:rsid w:val="00F11953"/>
    <w:rsid w:val="00F14761"/>
    <w:rsid w:val="00F20C2F"/>
    <w:rsid w:val="00F23DD0"/>
    <w:rsid w:val="00F2593B"/>
    <w:rsid w:val="00F55719"/>
    <w:rsid w:val="00F636EB"/>
    <w:rsid w:val="00F67FC1"/>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link w:val="NoSpacingChar"/>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character" w:customStyle="1" w:styleId="NoSpacingChar">
    <w:name w:val="No Spacing Char"/>
    <w:link w:val="NoSpacing"/>
    <w:rsid w:val="008343BA"/>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2020-10-19T10:52:00Z</cp:lastPrinted>
  <dcterms:created xsi:type="dcterms:W3CDTF">2020-11-26T14:05:00Z</dcterms:created>
  <dcterms:modified xsi:type="dcterms:W3CDTF">2020-11-26T14:05:00Z</dcterms:modified>
</cp:coreProperties>
</file>