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D77316"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DA0F22">
        <w:rPr>
          <w:rFonts w:eastAsia="Times New Roman"/>
          <w:b/>
          <w:lang w:val="en-GB" w:eastAsia="en-US"/>
        </w:rPr>
        <w:t>19</w:t>
      </w:r>
      <w:r w:rsidR="00234BDE">
        <w:rPr>
          <w:rFonts w:eastAsia="Times New Roman"/>
          <w:b/>
          <w:lang w:val="en-GB" w:eastAsia="en-US"/>
        </w:rPr>
        <w:t>7</w:t>
      </w:r>
      <w:r w:rsidR="009C5163">
        <w:rPr>
          <w:rFonts w:eastAsia="Times New Roman"/>
          <w:b/>
          <w:lang w:val="en-GB" w:eastAsia="en-US"/>
        </w:rPr>
        <w:t>7</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2</w:t>
      </w:r>
      <w:r w:rsidR="00A67A1F">
        <w:rPr>
          <w:rFonts w:eastAsia="Times New Roman"/>
          <w:b/>
          <w:lang w:val="en-GB" w:eastAsia="en-US"/>
        </w:rPr>
        <w:t>8</w:t>
      </w:r>
      <w:r w:rsidR="004616CF">
        <w:rPr>
          <w:rFonts w:eastAsia="Times New Roman"/>
          <w:b/>
          <w:lang w:val="en-GB" w:eastAsia="en-US"/>
        </w:rPr>
        <w:t xml:space="preserve"> AUGUST </w:t>
      </w:r>
      <w:r w:rsidRPr="00521B42">
        <w:rPr>
          <w:rFonts w:eastAsia="Times New Roman"/>
          <w:b/>
          <w:lang w:val="en-GB" w:eastAsia="en-US"/>
        </w:rPr>
        <w:t>2020</w:t>
      </w:r>
    </w:p>
    <w:p w:rsidR="009C5163" w:rsidRPr="00B05F1A" w:rsidRDefault="009C5163" w:rsidP="009C5163">
      <w:pPr>
        <w:spacing w:before="100" w:beforeAutospacing="1" w:after="100" w:afterAutospacing="1"/>
        <w:ind w:left="720" w:hanging="720"/>
        <w:jc w:val="both"/>
        <w:outlineLvl w:val="0"/>
        <w:rPr>
          <w:rFonts w:eastAsia="Times New Roman"/>
          <w:b/>
        </w:rPr>
      </w:pPr>
      <w:r w:rsidRPr="00B05F1A">
        <w:rPr>
          <w:rFonts w:eastAsia="Times New Roman"/>
          <w:b/>
        </w:rPr>
        <w:t>Mrs R Mohlala (EFF) to ask the Minister of Human Settlements, Water and Sanitation</w:t>
      </w:r>
      <w:r>
        <w:rPr>
          <w:rFonts w:eastAsia="Times New Roman"/>
          <w:b/>
        </w:rPr>
        <w:fldChar w:fldCharType="begin"/>
      </w:r>
      <w:r>
        <w:instrText xml:space="preserve"> XE "</w:instrText>
      </w:r>
      <w:r w:rsidRPr="000F46B1">
        <w:rPr>
          <w:rFonts w:eastAsia="Times New Roman"/>
          <w:b/>
        </w:rPr>
        <w:instrText>Human Settlements, Water and Sanitation</w:instrText>
      </w:r>
      <w:r>
        <w:instrText xml:space="preserve">" </w:instrText>
      </w:r>
      <w:r>
        <w:rPr>
          <w:rFonts w:eastAsia="Times New Roman"/>
          <w:b/>
        </w:rPr>
        <w:fldChar w:fldCharType="end"/>
      </w:r>
      <w:r w:rsidRPr="00B05F1A">
        <w:rPr>
          <w:rFonts w:eastAsia="Times New Roman"/>
          <w:b/>
        </w:rPr>
        <w:t>:</w:t>
      </w:r>
    </w:p>
    <w:p w:rsidR="009C5163" w:rsidRPr="007C28F1" w:rsidRDefault="009C5163" w:rsidP="00AA2AA2">
      <w:pPr>
        <w:pStyle w:val="BodyTextIndent2"/>
        <w:tabs>
          <w:tab w:val="left" w:pos="720"/>
        </w:tabs>
        <w:spacing w:before="100" w:beforeAutospacing="1" w:after="100" w:afterAutospacing="1" w:line="320" w:lineRule="atLeast"/>
        <w:ind w:left="0"/>
        <w:jc w:val="both"/>
      </w:pPr>
      <w:r w:rsidRPr="009C5163">
        <w:rPr>
          <w:bCs/>
          <w:szCs w:val="22"/>
          <w:lang w:val="en-GB"/>
        </w:rPr>
        <w:t>Given that the community of Motala Farm in Ward 15 in the Ethekwini region has been without houses and proper sanitation since the dawn of democracy and that even though land was identified on which to build them houses, nothing has been done, by what date does she envisage will her department build proper houses and provide sanitation to the specified community?</w:t>
      </w:r>
      <w:r w:rsidRPr="009C5163">
        <w:rPr>
          <w:bCs/>
          <w:szCs w:val="22"/>
          <w:lang w:val="en-GB"/>
        </w:rPr>
        <w:tab/>
      </w:r>
      <w:r w:rsidRPr="007C28F1">
        <w:tab/>
      </w:r>
      <w:r w:rsidRPr="007C28F1">
        <w:tab/>
      </w:r>
      <w:r>
        <w:tab/>
      </w:r>
      <w:r>
        <w:tab/>
      </w:r>
      <w:r>
        <w:tab/>
      </w:r>
      <w:r>
        <w:tab/>
      </w:r>
      <w:r>
        <w:tab/>
      </w:r>
      <w:r>
        <w:tab/>
      </w:r>
      <w:r>
        <w:tab/>
      </w:r>
      <w:r>
        <w:tab/>
      </w:r>
      <w:r>
        <w:tab/>
        <w:t xml:space="preserve">      </w:t>
      </w:r>
      <w:r w:rsidRPr="009C5163">
        <w:rPr>
          <w:b/>
          <w:sz w:val="20"/>
        </w:rPr>
        <w:t>NW2535E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D95B72" w:rsidRPr="00D95B72" w:rsidRDefault="00D95B72" w:rsidP="00D95B72">
      <w:pPr>
        <w:autoSpaceDE w:val="0"/>
        <w:autoSpaceDN w:val="0"/>
        <w:adjustRightInd w:val="0"/>
        <w:spacing w:line="320" w:lineRule="exact"/>
        <w:jc w:val="both"/>
        <w:rPr>
          <w:rFonts w:eastAsia="Times New Roman"/>
          <w:lang w:val="en-GB" w:eastAsia="en-US"/>
        </w:rPr>
      </w:pPr>
      <w:r w:rsidRPr="00D95B72">
        <w:rPr>
          <w:rFonts w:eastAsia="Times New Roman"/>
          <w:lang w:val="en-GB" w:eastAsia="en-US"/>
        </w:rPr>
        <w:t xml:space="preserve">Based on the information provided by the Kwa-Zulu Natal Provincial Department of Human Settlements, the project is at a pre-feasibility stage.  An application was received by the Provincial Department of Human Settlements from eThekwini Metropolitan Municipality, which was duly processed and feedback was accordingly provided to the Metropolitan Municipality.  The eThekwini Metro is currently incorporating all the comments received from the Provincial Department of Human Settlements, to ensure that the project meets the funding criteria for the Human Settlement Development Grant (HSDG). </w:t>
      </w:r>
    </w:p>
    <w:p w:rsidR="00D95B72" w:rsidRPr="00D95B72" w:rsidRDefault="00D95B72" w:rsidP="00D95B72">
      <w:pPr>
        <w:autoSpaceDE w:val="0"/>
        <w:autoSpaceDN w:val="0"/>
        <w:adjustRightInd w:val="0"/>
        <w:spacing w:line="320" w:lineRule="exact"/>
        <w:jc w:val="both"/>
        <w:rPr>
          <w:rFonts w:eastAsia="Times New Roman"/>
          <w:lang w:val="en-GB" w:eastAsia="en-US"/>
        </w:rPr>
      </w:pPr>
    </w:p>
    <w:p w:rsidR="00414734" w:rsidRPr="00414734" w:rsidRDefault="00D95B72" w:rsidP="00D95B72">
      <w:pPr>
        <w:autoSpaceDE w:val="0"/>
        <w:autoSpaceDN w:val="0"/>
        <w:adjustRightInd w:val="0"/>
        <w:spacing w:line="320" w:lineRule="exact"/>
        <w:jc w:val="both"/>
        <w:rPr>
          <w:rFonts w:eastAsia="Times New Roman"/>
          <w:lang w:val="en-GB" w:eastAsia="en-US"/>
        </w:rPr>
      </w:pPr>
      <w:r w:rsidRPr="00D95B72">
        <w:rPr>
          <w:rFonts w:eastAsia="Times New Roman"/>
          <w:lang w:val="en-GB" w:eastAsia="en-US"/>
        </w:rPr>
        <w:t>The table below provides the timeframes and envisaged dates for the execution of project tasks which includes the construction of houses.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4136"/>
      </w:tblGrid>
      <w:tr w:rsidR="00414734" w:rsidRPr="00414734" w:rsidTr="00414734">
        <w:trPr>
          <w:tblHeader/>
        </w:trPr>
        <w:tc>
          <w:tcPr>
            <w:tcW w:w="5220" w:type="dxa"/>
            <w:shd w:val="clear" w:color="auto" w:fill="DBE5F1"/>
          </w:tcPr>
          <w:p w:rsidR="00414734" w:rsidRPr="00414734" w:rsidRDefault="00414734" w:rsidP="00414734">
            <w:pPr>
              <w:autoSpaceDE w:val="0"/>
              <w:autoSpaceDN w:val="0"/>
              <w:adjustRightInd w:val="0"/>
              <w:spacing w:line="360" w:lineRule="auto"/>
              <w:jc w:val="center"/>
              <w:rPr>
                <w:rFonts w:eastAsia="Times New Roman"/>
                <w:b/>
                <w:bCs/>
                <w:lang w:val="en-GB" w:eastAsia="en-US"/>
              </w:rPr>
            </w:pPr>
            <w:r w:rsidRPr="00414734">
              <w:rPr>
                <w:rFonts w:eastAsia="Times New Roman"/>
                <w:b/>
                <w:bCs/>
                <w:lang w:val="en-GB" w:eastAsia="en-US"/>
              </w:rPr>
              <w:t>Activity</w:t>
            </w:r>
          </w:p>
        </w:tc>
        <w:tc>
          <w:tcPr>
            <w:tcW w:w="4136" w:type="dxa"/>
            <w:shd w:val="clear" w:color="auto" w:fill="DBE5F1"/>
          </w:tcPr>
          <w:p w:rsidR="00414734" w:rsidRPr="00414734" w:rsidRDefault="00414734" w:rsidP="00414734">
            <w:pPr>
              <w:autoSpaceDE w:val="0"/>
              <w:autoSpaceDN w:val="0"/>
              <w:adjustRightInd w:val="0"/>
              <w:spacing w:line="360" w:lineRule="auto"/>
              <w:jc w:val="center"/>
              <w:rPr>
                <w:rFonts w:eastAsia="Times New Roman"/>
                <w:b/>
                <w:bCs/>
                <w:lang w:val="en-GB" w:eastAsia="en-US"/>
              </w:rPr>
            </w:pPr>
            <w:r w:rsidRPr="00414734">
              <w:rPr>
                <w:rFonts w:eastAsia="Times New Roman"/>
                <w:b/>
                <w:bCs/>
                <w:lang w:val="en-GB" w:eastAsia="en-US"/>
              </w:rPr>
              <w:t>Time Frame</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t>Approval of project implementation funding</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February 2021</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t>Detailed planning studies</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October 2019 - June 2021</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t>Pre – Implementation Submission Consultations</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April 2021</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t>Final planning application submission</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May 2021</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lastRenderedPageBreak/>
              <w:t>Planning approval</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June 2021</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t>Submission and approval of Tranche 2 application to Provincial Department</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July – September  2021</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t xml:space="preserve">Installation of Services </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October 2021 - March 2022</w:t>
            </w:r>
          </w:p>
        </w:tc>
      </w:tr>
      <w:tr w:rsidR="00414734" w:rsidRPr="00414734" w:rsidTr="00414734">
        <w:tc>
          <w:tcPr>
            <w:tcW w:w="5220" w:type="dxa"/>
          </w:tcPr>
          <w:p w:rsidR="00414734" w:rsidRPr="00414734" w:rsidRDefault="00414734" w:rsidP="00414734">
            <w:pPr>
              <w:autoSpaceDE w:val="0"/>
              <w:autoSpaceDN w:val="0"/>
              <w:adjustRightInd w:val="0"/>
              <w:rPr>
                <w:rFonts w:eastAsia="Times New Roman"/>
                <w:lang w:val="en-GB" w:eastAsia="en-US"/>
              </w:rPr>
            </w:pPr>
            <w:r w:rsidRPr="00414734">
              <w:rPr>
                <w:rFonts w:eastAsia="Times New Roman"/>
                <w:lang w:val="en-GB" w:eastAsia="en-US"/>
              </w:rPr>
              <w:t>Top structure  construction</w:t>
            </w:r>
          </w:p>
        </w:tc>
        <w:tc>
          <w:tcPr>
            <w:tcW w:w="4136" w:type="dxa"/>
          </w:tcPr>
          <w:p w:rsidR="00414734" w:rsidRPr="00414734" w:rsidRDefault="00414734" w:rsidP="00414734">
            <w:pPr>
              <w:autoSpaceDE w:val="0"/>
              <w:autoSpaceDN w:val="0"/>
              <w:adjustRightInd w:val="0"/>
              <w:spacing w:line="360" w:lineRule="auto"/>
              <w:jc w:val="right"/>
              <w:rPr>
                <w:rFonts w:eastAsia="Times New Roman"/>
                <w:lang w:val="en-GB" w:eastAsia="en-US"/>
              </w:rPr>
            </w:pPr>
            <w:r w:rsidRPr="00414734">
              <w:rPr>
                <w:rFonts w:eastAsia="Times New Roman"/>
                <w:lang w:val="en-GB" w:eastAsia="en-US"/>
              </w:rPr>
              <w:t>April 2022</w:t>
            </w:r>
          </w:p>
        </w:tc>
      </w:tr>
    </w:tbl>
    <w:p w:rsidR="00414734" w:rsidRPr="00414734" w:rsidRDefault="00414734" w:rsidP="00244482">
      <w:pPr>
        <w:tabs>
          <w:tab w:val="left" w:pos="3380"/>
        </w:tabs>
        <w:spacing w:line="336" w:lineRule="auto"/>
        <w:ind w:left="720" w:hanging="720"/>
        <w:jc w:val="both"/>
        <w:rPr>
          <w:rFonts w:eastAsia="Times New Roman"/>
          <w:lang w:val="en-GB" w:eastAsia="en-US"/>
        </w:rPr>
      </w:pPr>
    </w:p>
    <w:p w:rsidR="00770CCC" w:rsidRPr="00414734" w:rsidRDefault="00770CCC" w:rsidP="00244482">
      <w:pPr>
        <w:tabs>
          <w:tab w:val="left" w:pos="3380"/>
        </w:tabs>
        <w:spacing w:line="336" w:lineRule="auto"/>
        <w:ind w:left="720" w:hanging="720"/>
        <w:jc w:val="both"/>
        <w:rPr>
          <w:rFonts w:eastAsia="Times New Roman"/>
          <w:b/>
          <w:lang w:val="en-GB" w:eastAsia="en-US"/>
        </w:rPr>
      </w:pP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15" w:rsidRDefault="00AF6F15" w:rsidP="00DD601E">
      <w:r>
        <w:separator/>
      </w:r>
    </w:p>
  </w:endnote>
  <w:endnote w:type="continuationSeparator" w:id="1">
    <w:p w:rsidR="00AF6F15" w:rsidRDefault="00AF6F15"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15" w:rsidRDefault="00AF6F15" w:rsidP="00DD601E">
      <w:r>
        <w:separator/>
      </w:r>
    </w:p>
  </w:footnote>
  <w:footnote w:type="continuationSeparator" w:id="1">
    <w:p w:rsidR="00AF6F15" w:rsidRDefault="00AF6F15"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206C4E">
      <w:rPr>
        <w:rFonts w:ascii="Times New Roman" w:hAnsi="Times New Roman"/>
        <w:lang w:val="en-US"/>
      </w:rPr>
      <w:t>9</w:t>
    </w:r>
    <w:r w:rsidR="00234BDE">
      <w:rPr>
        <w:rFonts w:ascii="Times New Roman" w:hAnsi="Times New Roman"/>
        <w:lang w:val="en-US"/>
      </w:rPr>
      <w:t>7</w:t>
    </w:r>
    <w:r w:rsidR="009C5163">
      <w:rPr>
        <w:rFonts w:ascii="Times New Roman" w:hAnsi="Times New Roman"/>
        <w:lang w:val="en-US"/>
      </w:rPr>
      <w:t>7</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4123B9"/>
    <w:rsid w:val="00412FC4"/>
    <w:rsid w:val="00414734"/>
    <w:rsid w:val="004201D9"/>
    <w:rsid w:val="004243FD"/>
    <w:rsid w:val="00435C84"/>
    <w:rsid w:val="00437A05"/>
    <w:rsid w:val="004616CF"/>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65757"/>
    <w:rsid w:val="00590C03"/>
    <w:rsid w:val="005A1C92"/>
    <w:rsid w:val="005B14CF"/>
    <w:rsid w:val="005B27E5"/>
    <w:rsid w:val="005B32B4"/>
    <w:rsid w:val="005D616D"/>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602B"/>
    <w:rsid w:val="00754A9C"/>
    <w:rsid w:val="00770CCC"/>
    <w:rsid w:val="007767AF"/>
    <w:rsid w:val="007A473E"/>
    <w:rsid w:val="007C1A04"/>
    <w:rsid w:val="007D7842"/>
    <w:rsid w:val="007D7D18"/>
    <w:rsid w:val="007F525F"/>
    <w:rsid w:val="007F53FB"/>
    <w:rsid w:val="007F58E5"/>
    <w:rsid w:val="00816D0C"/>
    <w:rsid w:val="0082294C"/>
    <w:rsid w:val="00823C33"/>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E7ED7"/>
    <w:rsid w:val="008F2869"/>
    <w:rsid w:val="00914949"/>
    <w:rsid w:val="00916F4A"/>
    <w:rsid w:val="00921425"/>
    <w:rsid w:val="00924324"/>
    <w:rsid w:val="00932EC5"/>
    <w:rsid w:val="009453A8"/>
    <w:rsid w:val="00963846"/>
    <w:rsid w:val="00970A9C"/>
    <w:rsid w:val="00976209"/>
    <w:rsid w:val="00977AC3"/>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120D8"/>
    <w:rsid w:val="00A327AA"/>
    <w:rsid w:val="00A60E9A"/>
    <w:rsid w:val="00A64F04"/>
    <w:rsid w:val="00A67A1F"/>
    <w:rsid w:val="00A76E09"/>
    <w:rsid w:val="00A969D0"/>
    <w:rsid w:val="00AA2AA2"/>
    <w:rsid w:val="00AA429C"/>
    <w:rsid w:val="00AB78D5"/>
    <w:rsid w:val="00AC0C9C"/>
    <w:rsid w:val="00AC313B"/>
    <w:rsid w:val="00AD00AF"/>
    <w:rsid w:val="00AE3D67"/>
    <w:rsid w:val="00AE47DB"/>
    <w:rsid w:val="00AE7A8B"/>
    <w:rsid w:val="00AF6F15"/>
    <w:rsid w:val="00AF79AE"/>
    <w:rsid w:val="00B1301C"/>
    <w:rsid w:val="00B15583"/>
    <w:rsid w:val="00B175C2"/>
    <w:rsid w:val="00B22EEA"/>
    <w:rsid w:val="00B313AE"/>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77316"/>
    <w:rsid w:val="00D94AAB"/>
    <w:rsid w:val="00D95B72"/>
    <w:rsid w:val="00DA0F22"/>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C3E5C"/>
    <w:rsid w:val="00EC5A92"/>
    <w:rsid w:val="00F00A01"/>
    <w:rsid w:val="00F03A48"/>
    <w:rsid w:val="00F07272"/>
    <w:rsid w:val="00F109AA"/>
    <w:rsid w:val="00F11953"/>
    <w:rsid w:val="00F14761"/>
    <w:rsid w:val="00F20C2F"/>
    <w:rsid w:val="00F23DD0"/>
    <w:rsid w:val="00F2593B"/>
    <w:rsid w:val="00F55719"/>
    <w:rsid w:val="00F636EB"/>
    <w:rsid w:val="00F67FC1"/>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2020-10-19T11:19:00Z</dcterms:created>
  <dcterms:modified xsi:type="dcterms:W3CDTF">2020-10-19T11:19:00Z</dcterms:modified>
</cp:coreProperties>
</file>