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D80F72">
        <w:rPr>
          <w:rFonts w:ascii="Arial" w:hAnsi="Arial" w:cs="Arial"/>
          <w:b/>
          <w:bCs/>
        </w:rPr>
        <w:t>1936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44E86">
        <w:rPr>
          <w:rFonts w:ascii="Arial" w:hAnsi="Arial" w:cs="Arial"/>
          <w:b/>
          <w:bCs/>
          <w:u w:val="single"/>
        </w:rPr>
        <w:t>23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ED55AA" w:rsidRDefault="00ED55A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80F72" w:rsidRPr="006673B3" w:rsidRDefault="00D80F72" w:rsidP="006673B3">
      <w:pPr>
        <w:spacing w:line="360" w:lineRule="auto"/>
        <w:ind w:left="816" w:hanging="816"/>
        <w:jc w:val="both"/>
        <w:rPr>
          <w:rFonts w:ascii="Arial" w:hAnsi="Arial" w:cs="Arial"/>
        </w:rPr>
      </w:pPr>
      <w:r w:rsidRPr="006673B3">
        <w:rPr>
          <w:rFonts w:ascii="Arial" w:hAnsi="Arial" w:cs="Arial"/>
          <w:b/>
        </w:rPr>
        <w:t>Ms H Bucwa (DA) to ask the Minister of Higher Education and Training:</w:t>
      </w:r>
    </w:p>
    <w:p w:rsidR="00D80F72" w:rsidRPr="006673B3" w:rsidRDefault="00D80F72" w:rsidP="006673B3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(1)</w:t>
      </w:r>
      <w:r w:rsidRPr="006673B3">
        <w:rPr>
          <w:rFonts w:ascii="Arial" w:hAnsi="Arial" w:cs="Arial"/>
        </w:rPr>
        <w:tab/>
        <w:t>In how many cases at each Sector Education and Training Authority (SETA) did grant recipients not deliver training services in return for their grant in the (a) 2014-15, (b) 2015-16 and (c) 2016-17 financial years;</w:t>
      </w:r>
    </w:p>
    <w:p w:rsidR="00D80F72" w:rsidRPr="006673B3" w:rsidRDefault="00D80F72" w:rsidP="006673B3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(2)</w:t>
      </w:r>
      <w:r w:rsidRPr="006673B3">
        <w:rPr>
          <w:rFonts w:ascii="Arial" w:hAnsi="Arial" w:cs="Arial"/>
        </w:rPr>
        <w:tab/>
        <w:t>whether actions have been taken against the specified recipients of grants who did not deliver; if not, why not; if so, what are the relevant details;</w:t>
      </w:r>
    </w:p>
    <w:p w:rsidR="00D80F72" w:rsidRPr="006673B3" w:rsidRDefault="00D80F72" w:rsidP="006673B3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(3)</w:t>
      </w:r>
      <w:r w:rsidRPr="006673B3">
        <w:rPr>
          <w:rFonts w:ascii="Arial" w:hAnsi="Arial" w:cs="Arial"/>
        </w:rPr>
        <w:tab/>
        <w:t>whether any of the specified recipients received any further grants despite not delivering training; if so, why;</w:t>
      </w:r>
    </w:p>
    <w:p w:rsidR="00D80F72" w:rsidRPr="006673B3" w:rsidRDefault="00D80F72" w:rsidP="006673B3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(4)</w:t>
      </w:r>
      <w:r w:rsidRPr="006673B3">
        <w:rPr>
          <w:rFonts w:ascii="Arial" w:hAnsi="Arial" w:cs="Arial"/>
        </w:rPr>
        <w:tab/>
        <w:t>what plans has his department put in place to ensure that grant recipients deliver on their promise to provide training?</w:t>
      </w:r>
      <w:r w:rsidRPr="006673B3">
        <w:rPr>
          <w:rFonts w:ascii="Arial" w:hAnsi="Arial" w:cs="Arial"/>
        </w:rPr>
        <w:tab/>
      </w:r>
      <w:r w:rsidRPr="006673B3">
        <w:rPr>
          <w:rFonts w:ascii="Arial" w:hAnsi="Arial" w:cs="Arial"/>
        </w:rPr>
        <w:tab/>
      </w:r>
      <w:r w:rsidRPr="006673B3">
        <w:rPr>
          <w:rFonts w:ascii="Arial" w:hAnsi="Arial" w:cs="Arial"/>
        </w:rPr>
        <w:tab/>
      </w:r>
      <w:r w:rsidRPr="006673B3">
        <w:rPr>
          <w:rFonts w:ascii="Arial" w:hAnsi="Arial" w:cs="Arial"/>
        </w:rPr>
        <w:tab/>
      </w:r>
      <w:r w:rsidRPr="006673B3">
        <w:rPr>
          <w:rFonts w:ascii="Arial" w:hAnsi="Arial" w:cs="Arial"/>
        </w:rPr>
        <w:tab/>
      </w:r>
    </w:p>
    <w:p w:rsidR="00D80F72" w:rsidRPr="006673B3" w:rsidRDefault="00D80F72" w:rsidP="00C45807">
      <w:pPr>
        <w:spacing w:line="360" w:lineRule="auto"/>
        <w:ind w:left="7200" w:firstLine="720"/>
        <w:rPr>
          <w:rFonts w:ascii="Arial" w:hAnsi="Arial" w:cs="Arial"/>
          <w:b/>
          <w:sz w:val="20"/>
        </w:rPr>
      </w:pPr>
      <w:r w:rsidRPr="006673B3">
        <w:rPr>
          <w:rFonts w:ascii="Arial" w:hAnsi="Arial" w:cs="Arial"/>
          <w:b/>
          <w:sz w:val="20"/>
        </w:rPr>
        <w:t>NW2148E</w:t>
      </w:r>
    </w:p>
    <w:p w:rsidR="00755ED4" w:rsidRPr="006673B3" w:rsidRDefault="00755ED4" w:rsidP="006673B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C3677B" w:rsidRPr="006673B3" w:rsidRDefault="00B12389" w:rsidP="006673B3">
      <w:pPr>
        <w:spacing w:line="360" w:lineRule="auto"/>
        <w:jc w:val="both"/>
        <w:rPr>
          <w:rFonts w:ascii="Arial" w:hAnsi="Arial" w:cs="Arial"/>
          <w:b/>
        </w:rPr>
      </w:pPr>
      <w:r w:rsidRPr="006673B3">
        <w:rPr>
          <w:rFonts w:ascii="Arial" w:hAnsi="Arial" w:cs="Arial"/>
          <w:b/>
        </w:rPr>
        <w:t>R</w:t>
      </w:r>
      <w:r w:rsidR="00FC1A3C" w:rsidRPr="006673B3">
        <w:rPr>
          <w:rFonts w:ascii="Arial" w:hAnsi="Arial" w:cs="Arial"/>
          <w:b/>
        </w:rPr>
        <w:t>EPLY:</w:t>
      </w:r>
    </w:p>
    <w:p w:rsidR="00090166" w:rsidRPr="006673B3" w:rsidRDefault="00CF4AF0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According to the information received from the </w:t>
      </w:r>
      <w:r w:rsidR="006673B3">
        <w:rPr>
          <w:rFonts w:ascii="Arial" w:hAnsi="Arial" w:cs="Arial"/>
        </w:rPr>
        <w:t>Sector Education and Training Authorities (</w:t>
      </w:r>
      <w:r w:rsidRPr="006673B3">
        <w:rPr>
          <w:rFonts w:ascii="Arial" w:hAnsi="Arial" w:cs="Arial"/>
        </w:rPr>
        <w:t>SETAs</w:t>
      </w:r>
      <w:r w:rsidR="006673B3">
        <w:rPr>
          <w:rFonts w:ascii="Arial" w:hAnsi="Arial" w:cs="Arial"/>
        </w:rPr>
        <w:t xml:space="preserve">), </w:t>
      </w:r>
      <w:r w:rsidRPr="006673B3">
        <w:rPr>
          <w:rFonts w:ascii="Arial" w:hAnsi="Arial" w:cs="Arial"/>
        </w:rPr>
        <w:t xml:space="preserve">cases in which grant recipients did not deliver training services in return for their grants were reported from the following </w:t>
      </w:r>
      <w:r w:rsidR="00C45807">
        <w:rPr>
          <w:rFonts w:ascii="Arial" w:hAnsi="Arial" w:cs="Arial"/>
        </w:rPr>
        <w:t xml:space="preserve">six </w:t>
      </w:r>
      <w:r w:rsidRPr="006673B3">
        <w:rPr>
          <w:rFonts w:ascii="Arial" w:hAnsi="Arial" w:cs="Arial"/>
        </w:rPr>
        <w:t>SETAs:</w:t>
      </w:r>
    </w:p>
    <w:p w:rsidR="00090166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Energy and Water SETA (</w:t>
      </w:r>
      <w:r w:rsidR="00090166" w:rsidRPr="006673B3">
        <w:rPr>
          <w:rFonts w:ascii="Arial" w:hAnsi="Arial" w:cs="Arial"/>
          <w:b/>
        </w:rPr>
        <w:t>EWSETA</w:t>
      </w:r>
      <w:r>
        <w:rPr>
          <w:rFonts w:ascii="Arial" w:hAnsi="Arial" w:cs="Arial"/>
          <w:b/>
        </w:rPr>
        <w:t>)</w:t>
      </w:r>
    </w:p>
    <w:p w:rsidR="00090166" w:rsidRPr="006673B3" w:rsidRDefault="00090166" w:rsidP="00C45807">
      <w:pPr>
        <w:pStyle w:val="ListParagraph"/>
        <w:numPr>
          <w:ilvl w:val="0"/>
          <w:numId w:val="14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6673B3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Pr="006673B3">
        <w:rPr>
          <w:rFonts w:ascii="Arial" w:hAnsi="Arial" w:cs="Arial"/>
        </w:rPr>
        <w:t>her</w:t>
      </w:r>
      <w:r w:rsidR="00CF4A67">
        <w:rPr>
          <w:rFonts w:ascii="Arial" w:hAnsi="Arial" w:cs="Arial"/>
        </w:rPr>
        <w:t xml:space="preserve">e was one </w:t>
      </w:r>
      <w:r w:rsidRPr="006673B3">
        <w:rPr>
          <w:rFonts w:ascii="Arial" w:hAnsi="Arial" w:cs="Arial"/>
        </w:rPr>
        <w:t xml:space="preserve">case in which </w:t>
      </w:r>
      <w:r w:rsidR="009469C6">
        <w:rPr>
          <w:rFonts w:ascii="Arial" w:hAnsi="Arial" w:cs="Arial"/>
        </w:rPr>
        <w:t>the grant recipient</w:t>
      </w:r>
      <w:r w:rsidRPr="006673B3">
        <w:rPr>
          <w:rFonts w:ascii="Arial" w:hAnsi="Arial" w:cs="Arial"/>
        </w:rPr>
        <w:t xml:space="preserve"> did not deliver training ser</w:t>
      </w:r>
      <w:r w:rsidR="009469C6">
        <w:rPr>
          <w:rFonts w:ascii="Arial" w:hAnsi="Arial" w:cs="Arial"/>
        </w:rPr>
        <w:t>vices in return for the</w:t>
      </w:r>
      <w:r w:rsidR="001041D1">
        <w:rPr>
          <w:rFonts w:ascii="Arial" w:hAnsi="Arial" w:cs="Arial"/>
        </w:rPr>
        <w:t>ir</w:t>
      </w:r>
      <w:r w:rsidR="005254E3">
        <w:rPr>
          <w:rFonts w:ascii="Arial" w:hAnsi="Arial" w:cs="Arial"/>
        </w:rPr>
        <w:t xml:space="preserve"> grant received</w:t>
      </w:r>
      <w:proofErr w:type="gramEnd"/>
      <w:r w:rsidR="005254E3">
        <w:rPr>
          <w:rFonts w:ascii="Arial" w:hAnsi="Arial" w:cs="Arial"/>
        </w:rPr>
        <w:t>.</w:t>
      </w:r>
    </w:p>
    <w:p w:rsidR="00090166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0166" w:rsidRPr="006673B3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N</w:t>
      </w:r>
      <w:r w:rsidR="00090166" w:rsidRPr="006673B3">
        <w:rPr>
          <w:rFonts w:ascii="Arial" w:hAnsi="Arial" w:cs="Arial"/>
        </w:rPr>
        <w:t>one</w:t>
      </w:r>
      <w:r w:rsidR="00014784" w:rsidRPr="006673B3">
        <w:rPr>
          <w:rFonts w:ascii="Arial" w:hAnsi="Arial" w:cs="Arial"/>
        </w:rPr>
        <w:t>.</w:t>
      </w:r>
    </w:p>
    <w:p w:rsidR="00090166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0166" w:rsidRPr="006673B3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N</w:t>
      </w:r>
      <w:r w:rsidR="00014784" w:rsidRPr="006673B3">
        <w:rPr>
          <w:rFonts w:ascii="Arial" w:hAnsi="Arial" w:cs="Arial"/>
        </w:rPr>
        <w:t>one.</w:t>
      </w:r>
    </w:p>
    <w:p w:rsidR="00090166" w:rsidRPr="006673B3" w:rsidRDefault="00C45807" w:rsidP="006673B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673B3">
        <w:rPr>
          <w:rFonts w:ascii="Arial" w:hAnsi="Arial" w:cs="Arial"/>
        </w:rPr>
        <w:t>A</w:t>
      </w:r>
      <w:r w:rsidR="00090166" w:rsidRPr="006673B3">
        <w:rPr>
          <w:rFonts w:ascii="Arial" w:hAnsi="Arial" w:cs="Arial"/>
        </w:rPr>
        <w:t xml:space="preserve"> forensic investigation was commissioned and is still in progress. </w:t>
      </w:r>
    </w:p>
    <w:p w:rsidR="00090166" w:rsidRPr="006673B3" w:rsidRDefault="00C45807" w:rsidP="006673B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The grant recipient</w:t>
      </w:r>
      <w:r w:rsidR="00090166" w:rsidRPr="006673B3">
        <w:rPr>
          <w:rFonts w:ascii="Arial" w:hAnsi="Arial" w:cs="Arial"/>
        </w:rPr>
        <w:t xml:space="preserve"> did not receive any further grants</w:t>
      </w:r>
      <w:r w:rsidR="006673B3">
        <w:rPr>
          <w:rFonts w:ascii="Arial" w:hAnsi="Arial" w:cs="Arial"/>
        </w:rPr>
        <w:t>.</w:t>
      </w:r>
      <w:r w:rsidR="00090166" w:rsidRPr="006673B3">
        <w:rPr>
          <w:rFonts w:ascii="Arial" w:hAnsi="Arial" w:cs="Arial"/>
        </w:rPr>
        <w:t xml:space="preserve"> </w:t>
      </w:r>
    </w:p>
    <w:p w:rsidR="006673B3" w:rsidRPr="00C45807" w:rsidRDefault="00CF4A67" w:rsidP="00C45807">
      <w:pPr>
        <w:pStyle w:val="ListParagraph"/>
        <w:numPr>
          <w:ilvl w:val="0"/>
          <w:numId w:val="14"/>
        </w:num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EW</w:t>
      </w:r>
      <w:r w:rsidR="00090166" w:rsidRPr="006673B3">
        <w:rPr>
          <w:rFonts w:ascii="Arial" w:hAnsi="Arial" w:cs="Arial"/>
        </w:rPr>
        <w:t xml:space="preserve">SETA ensures that projects are granted </w:t>
      </w:r>
      <w:r w:rsidR="006673B3">
        <w:rPr>
          <w:rFonts w:ascii="Arial" w:hAnsi="Arial" w:cs="Arial"/>
        </w:rPr>
        <w:t>to accredited service providers,</w:t>
      </w:r>
      <w:r w:rsidR="00090166" w:rsidRPr="006673B3">
        <w:rPr>
          <w:rFonts w:ascii="Arial" w:hAnsi="Arial" w:cs="Arial"/>
        </w:rPr>
        <w:t xml:space="preserve"> who have </w:t>
      </w:r>
      <w:r w:rsidR="006673B3">
        <w:rPr>
          <w:rFonts w:ascii="Arial" w:hAnsi="Arial" w:cs="Arial"/>
        </w:rPr>
        <w:t xml:space="preserve">a </w:t>
      </w:r>
      <w:r w:rsidR="00090166" w:rsidRPr="006673B3">
        <w:rPr>
          <w:rFonts w:ascii="Arial" w:hAnsi="Arial" w:cs="Arial"/>
        </w:rPr>
        <w:t>database of learners to be trained. Such providers must also ensure that workplace</w:t>
      </w:r>
      <w:r w:rsidR="006673B3">
        <w:rPr>
          <w:rFonts w:ascii="Arial" w:hAnsi="Arial" w:cs="Arial"/>
        </w:rPr>
        <w:t>s</w:t>
      </w:r>
      <w:r w:rsidR="00090166" w:rsidRPr="006673B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</w:t>
      </w:r>
      <w:r w:rsidR="00090166" w:rsidRPr="006673B3">
        <w:rPr>
          <w:rFonts w:ascii="Arial" w:hAnsi="Arial" w:cs="Arial"/>
        </w:rPr>
        <w:t xml:space="preserve"> placement of learners are available.</w:t>
      </w:r>
    </w:p>
    <w:p w:rsidR="00CF4AF0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469C6">
        <w:rPr>
          <w:rFonts w:ascii="Arial" w:hAnsi="Arial" w:cs="Arial"/>
          <w:b/>
        </w:rPr>
        <w:t xml:space="preserve">nsurance SETA </w:t>
      </w:r>
      <w:r>
        <w:rPr>
          <w:rFonts w:ascii="Arial" w:hAnsi="Arial" w:cs="Arial"/>
          <w:b/>
        </w:rPr>
        <w:t>(</w:t>
      </w:r>
      <w:r w:rsidR="00090166" w:rsidRPr="006673B3">
        <w:rPr>
          <w:rFonts w:ascii="Arial" w:hAnsi="Arial" w:cs="Arial"/>
          <w:b/>
        </w:rPr>
        <w:t>INSETA</w:t>
      </w:r>
      <w:r>
        <w:rPr>
          <w:rFonts w:ascii="Arial" w:hAnsi="Arial" w:cs="Arial"/>
          <w:b/>
        </w:rPr>
        <w:t>)</w:t>
      </w:r>
    </w:p>
    <w:p w:rsidR="00090166" w:rsidRPr="006673B3" w:rsidRDefault="00090166" w:rsidP="00C45807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CF4A67">
        <w:rPr>
          <w:rFonts w:ascii="Arial" w:hAnsi="Arial" w:cs="Arial"/>
        </w:rPr>
        <w:t>N</w:t>
      </w:r>
      <w:r w:rsidRPr="006673B3">
        <w:rPr>
          <w:rFonts w:ascii="Arial" w:hAnsi="Arial" w:cs="Arial"/>
        </w:rPr>
        <w:t>one</w:t>
      </w:r>
      <w:r w:rsidR="008A5191" w:rsidRPr="006673B3">
        <w:rPr>
          <w:rFonts w:ascii="Arial" w:hAnsi="Arial" w:cs="Arial"/>
        </w:rPr>
        <w:t>.</w:t>
      </w:r>
      <w:r w:rsidRPr="006673B3">
        <w:rPr>
          <w:rFonts w:ascii="Arial" w:hAnsi="Arial" w:cs="Arial"/>
        </w:rPr>
        <w:t xml:space="preserve"> </w:t>
      </w:r>
    </w:p>
    <w:p w:rsidR="00090166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0166" w:rsidRPr="006673B3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="00090166" w:rsidRPr="006673B3">
        <w:rPr>
          <w:rFonts w:ascii="Arial" w:hAnsi="Arial" w:cs="Arial"/>
        </w:rPr>
        <w:t xml:space="preserve">here were </w:t>
      </w:r>
      <w:proofErr w:type="gramStart"/>
      <w:r w:rsidR="00090166" w:rsidRPr="006673B3">
        <w:rPr>
          <w:rFonts w:ascii="Arial" w:hAnsi="Arial" w:cs="Arial"/>
        </w:rPr>
        <w:t>3</w:t>
      </w:r>
      <w:proofErr w:type="gramEnd"/>
      <w:r w:rsidR="00090166" w:rsidRPr="006673B3">
        <w:rPr>
          <w:rFonts w:ascii="Arial" w:hAnsi="Arial" w:cs="Arial"/>
        </w:rPr>
        <w:t xml:space="preserve"> cases in which grant recipients did not deliver training ser</w:t>
      </w:r>
      <w:r w:rsidR="005254E3">
        <w:rPr>
          <w:rFonts w:ascii="Arial" w:hAnsi="Arial" w:cs="Arial"/>
        </w:rPr>
        <w:t>v</w:t>
      </w:r>
      <w:r w:rsidR="009469C6">
        <w:rPr>
          <w:rFonts w:ascii="Arial" w:hAnsi="Arial" w:cs="Arial"/>
        </w:rPr>
        <w:t>ices in return for the</w:t>
      </w:r>
      <w:r w:rsidR="001041D1">
        <w:rPr>
          <w:rFonts w:ascii="Arial" w:hAnsi="Arial" w:cs="Arial"/>
        </w:rPr>
        <w:t>ir</w:t>
      </w:r>
      <w:r w:rsidR="005254E3">
        <w:rPr>
          <w:rFonts w:ascii="Arial" w:hAnsi="Arial" w:cs="Arial"/>
        </w:rPr>
        <w:t xml:space="preserve"> grant</w:t>
      </w:r>
      <w:r w:rsidR="009469C6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090166" w:rsidRPr="006673B3" w:rsidRDefault="00090166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 </w:t>
      </w:r>
      <w:r w:rsidRPr="006673B3">
        <w:rPr>
          <w:rFonts w:ascii="Arial" w:hAnsi="Arial" w:cs="Arial"/>
        </w:rPr>
        <w:tab/>
        <w:t xml:space="preserve">(c) </w:t>
      </w:r>
      <w:r w:rsidR="00C45807">
        <w:rPr>
          <w:rFonts w:ascii="Arial" w:hAnsi="Arial" w:cs="Arial"/>
        </w:rPr>
        <w:tab/>
      </w:r>
      <w:r w:rsidR="00CF4A67">
        <w:rPr>
          <w:rFonts w:ascii="Arial" w:hAnsi="Arial" w:cs="Arial"/>
        </w:rPr>
        <w:t>N</w:t>
      </w:r>
      <w:r w:rsidRPr="006673B3">
        <w:rPr>
          <w:rFonts w:ascii="Arial" w:hAnsi="Arial" w:cs="Arial"/>
        </w:rPr>
        <w:t>one</w:t>
      </w:r>
      <w:r w:rsidR="00014784" w:rsidRPr="006673B3">
        <w:rPr>
          <w:rFonts w:ascii="Arial" w:hAnsi="Arial" w:cs="Arial"/>
        </w:rPr>
        <w:t>.</w:t>
      </w:r>
    </w:p>
    <w:p w:rsidR="00090166" w:rsidRPr="006673B3" w:rsidRDefault="006673B3" w:rsidP="00C45807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0166" w:rsidRPr="006673B3">
        <w:rPr>
          <w:rFonts w:ascii="Arial" w:hAnsi="Arial" w:cs="Arial"/>
        </w:rPr>
        <w:t xml:space="preserve">NSETA reported one matter to the Hawks for investigation but since the latter has </w:t>
      </w:r>
      <w:r w:rsidR="005F3B26" w:rsidRPr="006673B3">
        <w:rPr>
          <w:rFonts w:ascii="Arial" w:hAnsi="Arial" w:cs="Arial"/>
        </w:rPr>
        <w:t>stop</w:t>
      </w:r>
      <w:r w:rsidR="005F3B26">
        <w:rPr>
          <w:rFonts w:ascii="Arial" w:hAnsi="Arial" w:cs="Arial"/>
        </w:rPr>
        <w:t>ped</w:t>
      </w:r>
      <w:r w:rsidR="00090166" w:rsidRPr="006673B3">
        <w:rPr>
          <w:rFonts w:ascii="Arial" w:hAnsi="Arial" w:cs="Arial"/>
        </w:rPr>
        <w:t xml:space="preserve"> pursuing the matter</w:t>
      </w:r>
      <w:r w:rsidR="005F3B26">
        <w:rPr>
          <w:rFonts w:ascii="Arial" w:hAnsi="Arial" w:cs="Arial"/>
        </w:rPr>
        <w:t>,</w:t>
      </w:r>
      <w:r w:rsidR="00090166" w:rsidRPr="006673B3">
        <w:rPr>
          <w:rFonts w:ascii="Arial" w:hAnsi="Arial" w:cs="Arial"/>
        </w:rPr>
        <w:t xml:space="preserve"> a</w:t>
      </w:r>
      <w:r w:rsidR="005F3B26">
        <w:rPr>
          <w:rFonts w:ascii="Arial" w:hAnsi="Arial" w:cs="Arial"/>
        </w:rPr>
        <w:t xml:space="preserve"> criminal</w:t>
      </w:r>
      <w:r w:rsidR="00090166" w:rsidRPr="006673B3">
        <w:rPr>
          <w:rFonts w:ascii="Arial" w:hAnsi="Arial" w:cs="Arial"/>
        </w:rPr>
        <w:t xml:space="preserve"> case </w:t>
      </w:r>
      <w:proofErr w:type="gramStart"/>
      <w:r w:rsidR="00090166" w:rsidRPr="006673B3">
        <w:rPr>
          <w:rFonts w:ascii="Arial" w:hAnsi="Arial" w:cs="Arial"/>
        </w:rPr>
        <w:t>will be opened</w:t>
      </w:r>
      <w:proofErr w:type="gramEnd"/>
      <w:r w:rsidR="00090166" w:rsidRPr="006673B3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the </w:t>
      </w:r>
      <w:r w:rsidR="005F3B26">
        <w:rPr>
          <w:rFonts w:ascii="Arial" w:hAnsi="Arial" w:cs="Arial"/>
        </w:rPr>
        <w:t>SAPS</w:t>
      </w:r>
      <w:r w:rsidR="00090166" w:rsidRPr="006673B3">
        <w:rPr>
          <w:rFonts w:ascii="Arial" w:hAnsi="Arial" w:cs="Arial"/>
        </w:rPr>
        <w:t xml:space="preserve"> Commercial Crimes Unit. On the second matter, INSETA issued a letter of demand a</w:t>
      </w:r>
      <w:r w:rsidR="001041D1">
        <w:rPr>
          <w:rFonts w:ascii="Arial" w:hAnsi="Arial" w:cs="Arial"/>
        </w:rPr>
        <w:t xml:space="preserve">nd settlement </w:t>
      </w:r>
      <w:proofErr w:type="gramStart"/>
      <w:r w:rsidR="001041D1">
        <w:rPr>
          <w:rFonts w:ascii="Arial" w:hAnsi="Arial" w:cs="Arial"/>
        </w:rPr>
        <w:t xml:space="preserve">has been </w:t>
      </w:r>
      <w:r w:rsidR="00090166" w:rsidRPr="006673B3">
        <w:rPr>
          <w:rFonts w:ascii="Arial" w:hAnsi="Arial" w:cs="Arial"/>
        </w:rPr>
        <w:t>agreed</w:t>
      </w:r>
      <w:proofErr w:type="gramEnd"/>
      <w:r w:rsidR="00090166" w:rsidRPr="006673B3">
        <w:rPr>
          <w:rFonts w:ascii="Arial" w:hAnsi="Arial" w:cs="Arial"/>
        </w:rPr>
        <w:t xml:space="preserve"> </w:t>
      </w:r>
      <w:r w:rsidR="001041D1">
        <w:rPr>
          <w:rFonts w:ascii="Arial" w:hAnsi="Arial" w:cs="Arial"/>
        </w:rPr>
        <w:t xml:space="preserve">upon </w:t>
      </w:r>
      <w:r w:rsidR="00090166" w:rsidRPr="006673B3">
        <w:rPr>
          <w:rFonts w:ascii="Arial" w:hAnsi="Arial" w:cs="Arial"/>
        </w:rPr>
        <w:t>with the grant recipient. On the third matter involving internships</w:t>
      </w:r>
      <w:r>
        <w:rPr>
          <w:rFonts w:ascii="Arial" w:hAnsi="Arial" w:cs="Arial"/>
        </w:rPr>
        <w:t>,</w:t>
      </w:r>
      <w:r w:rsidR="001041D1">
        <w:rPr>
          <w:rFonts w:ascii="Arial" w:hAnsi="Arial" w:cs="Arial"/>
        </w:rPr>
        <w:t xml:space="preserve"> </w:t>
      </w:r>
      <w:r w:rsidR="00CF4A67">
        <w:rPr>
          <w:rFonts w:ascii="Arial" w:hAnsi="Arial" w:cs="Arial"/>
        </w:rPr>
        <w:t xml:space="preserve">INSETA has opened a case with </w:t>
      </w:r>
      <w:r w:rsidR="00090166" w:rsidRPr="006673B3">
        <w:rPr>
          <w:rFonts w:ascii="Arial" w:hAnsi="Arial" w:cs="Arial"/>
        </w:rPr>
        <w:t>SAPS and the matter is under investigation.</w:t>
      </w:r>
    </w:p>
    <w:p w:rsidR="00090166" w:rsidRPr="006673B3" w:rsidRDefault="00090166" w:rsidP="00C45807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The grant recipients did not receive any further grants.</w:t>
      </w:r>
    </w:p>
    <w:p w:rsidR="00090166" w:rsidRDefault="00CF4A67" w:rsidP="006673B3">
      <w:pPr>
        <w:pStyle w:val="ListParagraph"/>
        <w:numPr>
          <w:ilvl w:val="0"/>
          <w:numId w:val="15"/>
        </w:num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0166" w:rsidRPr="006673B3">
        <w:rPr>
          <w:rFonts w:ascii="Arial" w:hAnsi="Arial" w:cs="Arial"/>
        </w:rPr>
        <w:t xml:space="preserve">SETA will conduct </w:t>
      </w:r>
      <w:r w:rsidR="006673B3">
        <w:rPr>
          <w:rFonts w:ascii="Arial" w:hAnsi="Arial" w:cs="Arial"/>
        </w:rPr>
        <w:t xml:space="preserve">an </w:t>
      </w:r>
      <w:r w:rsidR="00090166" w:rsidRPr="006673B3">
        <w:rPr>
          <w:rFonts w:ascii="Arial" w:hAnsi="Arial" w:cs="Arial"/>
        </w:rPr>
        <w:t>evaluation of worksites for grant applicants before offering any grants.</w:t>
      </w:r>
    </w:p>
    <w:p w:rsidR="001041D1" w:rsidRDefault="001041D1" w:rsidP="001041D1">
      <w:pPr>
        <w:spacing w:line="360" w:lineRule="auto"/>
        <w:jc w:val="both"/>
        <w:rPr>
          <w:rFonts w:ascii="Arial" w:hAnsi="Arial" w:cs="Arial"/>
        </w:rPr>
      </w:pPr>
    </w:p>
    <w:p w:rsidR="001041D1" w:rsidRDefault="001041D1" w:rsidP="001041D1">
      <w:pPr>
        <w:spacing w:line="360" w:lineRule="auto"/>
        <w:jc w:val="both"/>
        <w:rPr>
          <w:rFonts w:ascii="Arial" w:hAnsi="Arial" w:cs="Arial"/>
        </w:rPr>
      </w:pPr>
    </w:p>
    <w:p w:rsidR="001041D1" w:rsidRPr="001041D1" w:rsidRDefault="001041D1" w:rsidP="001041D1">
      <w:pPr>
        <w:spacing w:line="360" w:lineRule="auto"/>
        <w:jc w:val="both"/>
        <w:rPr>
          <w:rFonts w:ascii="Arial" w:hAnsi="Arial" w:cs="Arial"/>
        </w:rPr>
      </w:pPr>
    </w:p>
    <w:p w:rsidR="008F4648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 w:rsidRPr="006673B3">
        <w:rPr>
          <w:rFonts w:ascii="Arial" w:hAnsi="Arial" w:cs="Arial"/>
          <w:b/>
        </w:rPr>
        <w:t>Manufacturing, Engineering and Related Services S</w:t>
      </w:r>
      <w:r>
        <w:rPr>
          <w:rFonts w:ascii="Arial" w:hAnsi="Arial" w:cs="Arial"/>
          <w:b/>
        </w:rPr>
        <w:t>ETA (MER</w:t>
      </w:r>
      <w:r w:rsidRPr="006673B3">
        <w:rPr>
          <w:rFonts w:ascii="Arial" w:hAnsi="Arial" w:cs="Arial"/>
          <w:b/>
        </w:rPr>
        <w:t>SETA)</w:t>
      </w:r>
    </w:p>
    <w:p w:rsidR="008F4648" w:rsidRPr="006673B3" w:rsidRDefault="00436247" w:rsidP="00C45807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="008F4648" w:rsidRPr="006673B3">
        <w:rPr>
          <w:rFonts w:ascii="Arial" w:hAnsi="Arial" w:cs="Arial"/>
        </w:rPr>
        <w:t>h</w:t>
      </w:r>
      <w:r w:rsidR="00CF4A67">
        <w:rPr>
          <w:rFonts w:ascii="Arial" w:hAnsi="Arial" w:cs="Arial"/>
        </w:rPr>
        <w:t xml:space="preserve">ere were 77 cases in which </w:t>
      </w:r>
      <w:r w:rsidR="008F4648" w:rsidRPr="006673B3">
        <w:rPr>
          <w:rFonts w:ascii="Arial" w:hAnsi="Arial" w:cs="Arial"/>
        </w:rPr>
        <w:t xml:space="preserve">grant recipients did not deliver training services </w:t>
      </w:r>
      <w:r w:rsidR="001041D1">
        <w:rPr>
          <w:rFonts w:ascii="Arial" w:hAnsi="Arial" w:cs="Arial"/>
        </w:rPr>
        <w:t>in return for their</w:t>
      </w:r>
      <w:r w:rsidR="005254E3">
        <w:rPr>
          <w:rFonts w:ascii="Arial" w:hAnsi="Arial" w:cs="Arial"/>
        </w:rPr>
        <w:t xml:space="preserve"> grant</w:t>
      </w:r>
      <w:r w:rsidR="001041D1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8F4648" w:rsidRPr="006673B3" w:rsidRDefault="00C45807" w:rsidP="00C45807">
      <w:pPr>
        <w:tabs>
          <w:tab w:val="left" w:pos="284"/>
        </w:tabs>
        <w:spacing w:line="360" w:lineRule="auto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3B3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="008F4648" w:rsidRPr="006673B3">
        <w:rPr>
          <w:rFonts w:ascii="Arial" w:hAnsi="Arial" w:cs="Arial"/>
        </w:rPr>
        <w:t>he</w:t>
      </w:r>
      <w:r w:rsidR="00CF4A67">
        <w:rPr>
          <w:rFonts w:ascii="Arial" w:hAnsi="Arial" w:cs="Arial"/>
        </w:rPr>
        <w:t xml:space="preserve">re were 232 cases in which </w:t>
      </w:r>
      <w:r w:rsidR="008F4648" w:rsidRPr="006673B3">
        <w:rPr>
          <w:rFonts w:ascii="Arial" w:hAnsi="Arial" w:cs="Arial"/>
        </w:rPr>
        <w:t>grant recipients did not deliver training ser</w:t>
      </w:r>
      <w:r w:rsidR="005254E3">
        <w:rPr>
          <w:rFonts w:ascii="Arial" w:hAnsi="Arial" w:cs="Arial"/>
        </w:rPr>
        <w:t>vices in return for their grant</w:t>
      </w:r>
      <w:r w:rsidR="001041D1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8F4648" w:rsidRPr="006673B3" w:rsidRDefault="00C45807" w:rsidP="00C45807">
      <w:pPr>
        <w:tabs>
          <w:tab w:val="left" w:pos="284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3B3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="008F4648" w:rsidRPr="006673B3">
        <w:rPr>
          <w:rFonts w:ascii="Arial" w:hAnsi="Arial" w:cs="Arial"/>
        </w:rPr>
        <w:t>he</w:t>
      </w:r>
      <w:r w:rsidR="00CF4A67">
        <w:rPr>
          <w:rFonts w:ascii="Arial" w:hAnsi="Arial" w:cs="Arial"/>
        </w:rPr>
        <w:t xml:space="preserve">re were 438 cases in which </w:t>
      </w:r>
      <w:r w:rsidR="008F4648" w:rsidRPr="006673B3">
        <w:rPr>
          <w:rFonts w:ascii="Arial" w:hAnsi="Arial" w:cs="Arial"/>
        </w:rPr>
        <w:t>grant recipients did not deliver training servi</w:t>
      </w:r>
      <w:r w:rsidR="005254E3">
        <w:rPr>
          <w:rFonts w:ascii="Arial" w:hAnsi="Arial" w:cs="Arial"/>
        </w:rPr>
        <w:t>ces in return for their grant received.</w:t>
      </w:r>
    </w:p>
    <w:p w:rsidR="008F4648" w:rsidRPr="006673B3" w:rsidRDefault="008F4648" w:rsidP="00C45807">
      <w:pPr>
        <w:pStyle w:val="ListParagraph"/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MERSETA uses its M</w:t>
      </w:r>
      <w:r w:rsidR="006673B3">
        <w:rPr>
          <w:rFonts w:ascii="Arial" w:hAnsi="Arial" w:cs="Arial"/>
        </w:rPr>
        <w:t>emoranda of Understanding (M</w:t>
      </w:r>
      <w:r w:rsidRPr="006673B3">
        <w:rPr>
          <w:rFonts w:ascii="Arial" w:hAnsi="Arial" w:cs="Arial"/>
        </w:rPr>
        <w:t>OU</w:t>
      </w:r>
      <w:r w:rsidR="006673B3">
        <w:rPr>
          <w:rFonts w:ascii="Arial" w:hAnsi="Arial" w:cs="Arial"/>
        </w:rPr>
        <w:t>)</w:t>
      </w:r>
      <w:r w:rsidRPr="006673B3">
        <w:rPr>
          <w:rFonts w:ascii="Arial" w:hAnsi="Arial" w:cs="Arial"/>
        </w:rPr>
        <w:t xml:space="preserve"> to address non-delivery</w:t>
      </w:r>
      <w:r w:rsidR="001041D1">
        <w:rPr>
          <w:rFonts w:ascii="Arial" w:hAnsi="Arial" w:cs="Arial"/>
        </w:rPr>
        <w:t xml:space="preserve"> issues</w:t>
      </w:r>
      <w:r w:rsidRPr="006673B3">
        <w:rPr>
          <w:rFonts w:ascii="Arial" w:hAnsi="Arial" w:cs="Arial"/>
        </w:rPr>
        <w:t xml:space="preserve">. Since the SETA signs the MOU with training providers, </w:t>
      </w:r>
      <w:r w:rsidR="00CF4A67">
        <w:rPr>
          <w:rFonts w:ascii="Arial" w:hAnsi="Arial" w:cs="Arial"/>
        </w:rPr>
        <w:t xml:space="preserve">wherein </w:t>
      </w:r>
      <w:r w:rsidRPr="006673B3">
        <w:rPr>
          <w:rFonts w:ascii="Arial" w:hAnsi="Arial" w:cs="Arial"/>
        </w:rPr>
        <w:t xml:space="preserve">it </w:t>
      </w:r>
      <w:proofErr w:type="gramStart"/>
      <w:r w:rsidRPr="006673B3">
        <w:rPr>
          <w:rFonts w:ascii="Arial" w:hAnsi="Arial" w:cs="Arial"/>
        </w:rPr>
        <w:t>is stated</w:t>
      </w:r>
      <w:proofErr w:type="gramEnd"/>
      <w:r w:rsidRPr="006673B3">
        <w:rPr>
          <w:rFonts w:ascii="Arial" w:hAnsi="Arial" w:cs="Arial"/>
        </w:rPr>
        <w:t xml:space="preserve"> that payments will be done in tranches on </w:t>
      </w:r>
      <w:r w:rsidR="001041D1">
        <w:rPr>
          <w:rFonts w:ascii="Arial" w:hAnsi="Arial" w:cs="Arial"/>
        </w:rPr>
        <w:t xml:space="preserve">the </w:t>
      </w:r>
      <w:r w:rsidRPr="006673B3">
        <w:rPr>
          <w:rFonts w:ascii="Arial" w:hAnsi="Arial" w:cs="Arial"/>
        </w:rPr>
        <w:t xml:space="preserve">achievement of agreed deliverables. The MOU also states that the SETA reserves the right to withhold any payment or seek refunds of </w:t>
      </w:r>
      <w:r w:rsidR="001041D1">
        <w:rPr>
          <w:rFonts w:ascii="Arial" w:hAnsi="Arial" w:cs="Arial"/>
        </w:rPr>
        <w:t>monies paid</w:t>
      </w:r>
      <w:r w:rsidRPr="006673B3">
        <w:rPr>
          <w:rFonts w:ascii="Arial" w:hAnsi="Arial" w:cs="Arial"/>
        </w:rPr>
        <w:t xml:space="preserve"> related to any tranche where learning programmes </w:t>
      </w:r>
      <w:proofErr w:type="gramStart"/>
      <w:r w:rsidRPr="006673B3">
        <w:rPr>
          <w:rFonts w:ascii="Arial" w:hAnsi="Arial" w:cs="Arial"/>
        </w:rPr>
        <w:t>have not been delivered</w:t>
      </w:r>
      <w:proofErr w:type="gramEnd"/>
      <w:r w:rsidRPr="006673B3">
        <w:rPr>
          <w:rFonts w:ascii="Arial" w:hAnsi="Arial" w:cs="Arial"/>
        </w:rPr>
        <w:t xml:space="preserve"> as agreed. </w:t>
      </w:r>
    </w:p>
    <w:p w:rsidR="008F4648" w:rsidRPr="006673B3" w:rsidRDefault="008F4648" w:rsidP="00C45807">
      <w:pPr>
        <w:numPr>
          <w:ilvl w:val="0"/>
          <w:numId w:val="24"/>
        </w:numPr>
        <w:spacing w:line="360" w:lineRule="auto"/>
        <w:ind w:left="709" w:hanging="709"/>
        <w:contextualSpacing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MERSETA adheres to its Grant Policy in </w:t>
      </w:r>
      <w:r w:rsidR="001041D1">
        <w:rPr>
          <w:rFonts w:ascii="Arial" w:hAnsi="Arial" w:cs="Arial"/>
        </w:rPr>
        <w:t xml:space="preserve">the </w:t>
      </w:r>
      <w:r w:rsidRPr="006673B3">
        <w:rPr>
          <w:rFonts w:ascii="Arial" w:hAnsi="Arial" w:cs="Arial"/>
        </w:rPr>
        <w:t xml:space="preserve">allocating </w:t>
      </w:r>
      <w:r w:rsidR="001041D1">
        <w:rPr>
          <w:rFonts w:ascii="Arial" w:hAnsi="Arial" w:cs="Arial"/>
        </w:rPr>
        <w:t xml:space="preserve">of </w:t>
      </w:r>
      <w:r w:rsidRPr="006673B3">
        <w:rPr>
          <w:rFonts w:ascii="Arial" w:hAnsi="Arial" w:cs="Arial"/>
        </w:rPr>
        <w:t>grants and deals with each case based on its merit. Some grant recipients default in implementing certain training programmes while the</w:t>
      </w:r>
      <w:r w:rsidR="001041D1">
        <w:rPr>
          <w:rFonts w:ascii="Arial" w:hAnsi="Arial" w:cs="Arial"/>
        </w:rPr>
        <w:t>y successfully implement others. I</w:t>
      </w:r>
      <w:r w:rsidRPr="006673B3">
        <w:rPr>
          <w:rFonts w:ascii="Arial" w:hAnsi="Arial" w:cs="Arial"/>
        </w:rPr>
        <w:t>n cases where the grant recipient fails to deliver, the SETA offsets payment</w:t>
      </w:r>
      <w:r w:rsidR="006673B3">
        <w:rPr>
          <w:rFonts w:ascii="Arial" w:hAnsi="Arial" w:cs="Arial"/>
        </w:rPr>
        <w:t>s</w:t>
      </w:r>
      <w:r w:rsidRPr="006673B3">
        <w:rPr>
          <w:rFonts w:ascii="Arial" w:hAnsi="Arial" w:cs="Arial"/>
        </w:rPr>
        <w:t xml:space="preserve"> on subsequent funding. </w:t>
      </w:r>
      <w:r w:rsidR="005F3B26" w:rsidRPr="006673B3">
        <w:rPr>
          <w:rFonts w:ascii="Arial" w:hAnsi="Arial" w:cs="Arial"/>
        </w:rPr>
        <w:t>However,</w:t>
      </w:r>
      <w:r w:rsidRPr="006673B3">
        <w:rPr>
          <w:rFonts w:ascii="Arial" w:hAnsi="Arial" w:cs="Arial"/>
        </w:rPr>
        <w:t xml:space="preserve"> in the absence of any possible subsequent funding, such grant recipients </w:t>
      </w:r>
      <w:proofErr w:type="gramStart"/>
      <w:r w:rsidRPr="006673B3">
        <w:rPr>
          <w:rFonts w:ascii="Arial" w:hAnsi="Arial" w:cs="Arial"/>
        </w:rPr>
        <w:t>are issued</w:t>
      </w:r>
      <w:proofErr w:type="gramEnd"/>
      <w:r w:rsidRPr="006673B3">
        <w:rPr>
          <w:rFonts w:ascii="Arial" w:hAnsi="Arial" w:cs="Arial"/>
        </w:rPr>
        <w:t xml:space="preserve"> </w:t>
      </w:r>
      <w:r w:rsidR="001041D1">
        <w:rPr>
          <w:rFonts w:ascii="Arial" w:hAnsi="Arial" w:cs="Arial"/>
        </w:rPr>
        <w:t xml:space="preserve">with </w:t>
      </w:r>
      <w:r w:rsidRPr="006673B3">
        <w:rPr>
          <w:rFonts w:ascii="Arial" w:hAnsi="Arial" w:cs="Arial"/>
        </w:rPr>
        <w:t xml:space="preserve">invoices to </w:t>
      </w:r>
      <w:r w:rsidR="00CF4A67">
        <w:rPr>
          <w:rFonts w:ascii="Arial" w:hAnsi="Arial" w:cs="Arial"/>
        </w:rPr>
        <w:t xml:space="preserve">repay </w:t>
      </w:r>
      <w:r w:rsidR="001041D1">
        <w:rPr>
          <w:rFonts w:ascii="Arial" w:hAnsi="Arial" w:cs="Arial"/>
        </w:rPr>
        <w:t>the grant allocation</w:t>
      </w:r>
      <w:r w:rsidR="00CF4A67">
        <w:rPr>
          <w:rFonts w:ascii="Arial" w:hAnsi="Arial" w:cs="Arial"/>
        </w:rPr>
        <w:t>.</w:t>
      </w:r>
    </w:p>
    <w:p w:rsidR="008F4648" w:rsidRPr="006673B3" w:rsidRDefault="008F4648" w:rsidP="00C45807">
      <w:pPr>
        <w:numPr>
          <w:ilvl w:val="0"/>
          <w:numId w:val="24"/>
        </w:numPr>
        <w:spacing w:line="360" w:lineRule="auto"/>
        <w:ind w:left="709" w:hanging="709"/>
        <w:contextualSpacing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MERSETA has seven regional and three satelli</w:t>
      </w:r>
      <w:r w:rsidR="006673B3">
        <w:rPr>
          <w:rFonts w:ascii="Arial" w:hAnsi="Arial" w:cs="Arial"/>
        </w:rPr>
        <w:t>te offices, staffed with Client</w:t>
      </w:r>
      <w:r w:rsidRPr="006673B3">
        <w:rPr>
          <w:rFonts w:ascii="Arial" w:hAnsi="Arial" w:cs="Arial"/>
        </w:rPr>
        <w:t xml:space="preserve"> Lia</w:t>
      </w:r>
      <w:r w:rsidR="006673B3">
        <w:rPr>
          <w:rFonts w:ascii="Arial" w:hAnsi="Arial" w:cs="Arial"/>
        </w:rPr>
        <w:t>ison Officers and Quality Assure</w:t>
      </w:r>
      <w:r w:rsidRPr="006673B3">
        <w:rPr>
          <w:rFonts w:ascii="Arial" w:hAnsi="Arial" w:cs="Arial"/>
        </w:rPr>
        <w:t>rs who monitor the quality of training implemented.</w:t>
      </w:r>
    </w:p>
    <w:p w:rsidR="008F4648" w:rsidRPr="006673B3" w:rsidRDefault="008F4648" w:rsidP="006673B3">
      <w:pPr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:rsidR="008F4648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Mining Qualifications Authority (</w:t>
      </w:r>
      <w:r w:rsidR="008F4648" w:rsidRPr="006673B3">
        <w:rPr>
          <w:rFonts w:ascii="Arial" w:hAnsi="Arial" w:cs="Arial"/>
          <w:b/>
        </w:rPr>
        <w:t>MQA</w:t>
      </w:r>
      <w:r>
        <w:rPr>
          <w:rFonts w:ascii="Arial" w:hAnsi="Arial" w:cs="Arial"/>
          <w:b/>
        </w:rPr>
        <w:t>)</w:t>
      </w:r>
    </w:p>
    <w:p w:rsidR="008F4648" w:rsidRPr="006673B3" w:rsidRDefault="00436247" w:rsidP="00C45807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6673B3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CF4A67">
        <w:rPr>
          <w:rFonts w:ascii="Arial" w:hAnsi="Arial" w:cs="Arial"/>
        </w:rPr>
        <w:t xml:space="preserve">There was one case in which </w:t>
      </w:r>
      <w:r w:rsidR="001041D1">
        <w:rPr>
          <w:rFonts w:ascii="Arial" w:hAnsi="Arial" w:cs="Arial"/>
        </w:rPr>
        <w:t>the grant recipient</w:t>
      </w:r>
      <w:r w:rsidR="008F4648" w:rsidRPr="006673B3">
        <w:rPr>
          <w:rFonts w:ascii="Arial" w:hAnsi="Arial" w:cs="Arial"/>
        </w:rPr>
        <w:t xml:space="preserve"> did not deliver training</w:t>
      </w:r>
      <w:r w:rsidR="006673B3">
        <w:rPr>
          <w:rFonts w:ascii="Arial" w:hAnsi="Arial" w:cs="Arial"/>
        </w:rPr>
        <w:t xml:space="preserve"> </w:t>
      </w:r>
      <w:r w:rsidR="008F4648" w:rsidRPr="006673B3">
        <w:rPr>
          <w:rFonts w:ascii="Arial" w:hAnsi="Arial" w:cs="Arial"/>
        </w:rPr>
        <w:t>ser</w:t>
      </w:r>
      <w:r w:rsidR="005254E3">
        <w:rPr>
          <w:rFonts w:ascii="Arial" w:hAnsi="Arial" w:cs="Arial"/>
        </w:rPr>
        <w:t>vices in return for their grant received</w:t>
      </w:r>
      <w:proofErr w:type="gramEnd"/>
      <w:r w:rsidR="005254E3">
        <w:rPr>
          <w:rFonts w:ascii="Arial" w:hAnsi="Arial" w:cs="Arial"/>
        </w:rPr>
        <w:t>.</w:t>
      </w:r>
    </w:p>
    <w:p w:rsidR="001041D1" w:rsidRDefault="001041D1" w:rsidP="00C45807">
      <w:pPr>
        <w:pStyle w:val="ListParagraph"/>
        <w:numPr>
          <w:ilvl w:val="0"/>
          <w:numId w:val="23"/>
        </w:numPr>
        <w:tabs>
          <w:tab w:val="left" w:pos="270"/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 was one case in which the grant recipient</w:t>
      </w:r>
      <w:r w:rsidRPr="006673B3">
        <w:rPr>
          <w:rFonts w:ascii="Arial" w:hAnsi="Arial" w:cs="Arial"/>
        </w:rPr>
        <w:t xml:space="preserve"> did not deliver training</w:t>
      </w:r>
      <w:r>
        <w:rPr>
          <w:rFonts w:ascii="Arial" w:hAnsi="Arial" w:cs="Arial"/>
        </w:rPr>
        <w:t xml:space="preserve"> </w:t>
      </w:r>
      <w:r w:rsidRPr="006673B3">
        <w:rPr>
          <w:rFonts w:ascii="Arial" w:hAnsi="Arial" w:cs="Arial"/>
        </w:rPr>
        <w:t>ser</w:t>
      </w:r>
      <w:r>
        <w:rPr>
          <w:rFonts w:ascii="Arial" w:hAnsi="Arial" w:cs="Arial"/>
        </w:rPr>
        <w:t>vices in return for their grant received</w:t>
      </w:r>
      <w:proofErr w:type="gramEnd"/>
      <w:r>
        <w:rPr>
          <w:rFonts w:ascii="Arial" w:hAnsi="Arial" w:cs="Arial"/>
        </w:rPr>
        <w:t>.</w:t>
      </w:r>
    </w:p>
    <w:p w:rsidR="008F4648" w:rsidRPr="006673B3" w:rsidRDefault="00CF4A67" w:rsidP="00C45807">
      <w:pPr>
        <w:pStyle w:val="ListParagraph"/>
        <w:numPr>
          <w:ilvl w:val="0"/>
          <w:numId w:val="23"/>
        </w:numPr>
        <w:tabs>
          <w:tab w:val="left" w:pos="270"/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648" w:rsidRPr="006673B3">
        <w:rPr>
          <w:rFonts w:ascii="Arial" w:hAnsi="Arial" w:cs="Arial"/>
        </w:rPr>
        <w:t>one.</w:t>
      </w:r>
    </w:p>
    <w:p w:rsidR="008F4648" w:rsidRPr="006673B3" w:rsidRDefault="00C45807" w:rsidP="005254E3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F4A67">
        <w:rPr>
          <w:rFonts w:ascii="Arial" w:hAnsi="Arial" w:cs="Arial"/>
        </w:rPr>
        <w:t>T</w:t>
      </w:r>
      <w:r w:rsidR="008F4648" w:rsidRPr="006673B3">
        <w:rPr>
          <w:rFonts w:ascii="Arial" w:hAnsi="Arial" w:cs="Arial"/>
        </w:rPr>
        <w:t xml:space="preserve">he contract was cancelled and part of the money was recovered. Legal action is in progress to recover </w:t>
      </w:r>
      <w:r w:rsidR="001041D1">
        <w:rPr>
          <w:rFonts w:ascii="Arial" w:hAnsi="Arial" w:cs="Arial"/>
        </w:rPr>
        <w:t>the remaining money</w:t>
      </w:r>
      <w:r w:rsidR="008F4648" w:rsidRPr="006673B3">
        <w:rPr>
          <w:rFonts w:ascii="Arial" w:hAnsi="Arial" w:cs="Arial"/>
        </w:rPr>
        <w:t xml:space="preserve">. </w:t>
      </w:r>
    </w:p>
    <w:p w:rsidR="008F4648" w:rsidRPr="005254E3" w:rsidRDefault="00C45807" w:rsidP="005254E3">
      <w:pPr>
        <w:pStyle w:val="ListParagraph"/>
        <w:numPr>
          <w:ilvl w:val="0"/>
          <w:numId w:val="22"/>
        </w:numPr>
        <w:spacing w:after="0"/>
        <w:ind w:hanging="630"/>
        <w:rPr>
          <w:rFonts w:ascii="Arial" w:hAnsi="Arial" w:cs="Arial"/>
        </w:rPr>
      </w:pPr>
      <w:r w:rsidRPr="005254E3">
        <w:rPr>
          <w:rFonts w:ascii="Arial" w:hAnsi="Arial" w:cs="Arial"/>
        </w:rPr>
        <w:t xml:space="preserve"> </w:t>
      </w:r>
      <w:r w:rsidRPr="005254E3">
        <w:rPr>
          <w:rFonts w:ascii="Arial" w:hAnsi="Arial" w:cs="Arial"/>
        </w:rPr>
        <w:tab/>
      </w:r>
      <w:r w:rsidR="005254E3" w:rsidRPr="005254E3">
        <w:rPr>
          <w:rFonts w:ascii="Arial" w:hAnsi="Arial" w:cs="Arial"/>
        </w:rPr>
        <w:t>The grant recipients did not receive any further grants.</w:t>
      </w:r>
    </w:p>
    <w:p w:rsidR="005254E3" w:rsidRDefault="008F4648" w:rsidP="00C45807">
      <w:pPr>
        <w:numPr>
          <w:ilvl w:val="0"/>
          <w:numId w:val="22"/>
        </w:numPr>
        <w:spacing w:line="360" w:lineRule="auto"/>
        <w:ind w:left="709" w:hanging="709"/>
        <w:contextualSpacing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MQA has established a committee that reviews applications and conducts due diligence assessments prior to </w:t>
      </w:r>
      <w:r w:rsidR="005254E3">
        <w:rPr>
          <w:rFonts w:ascii="Arial" w:hAnsi="Arial" w:cs="Arial"/>
        </w:rPr>
        <w:t xml:space="preserve">the </w:t>
      </w:r>
      <w:r w:rsidRPr="006673B3">
        <w:rPr>
          <w:rFonts w:ascii="Arial" w:hAnsi="Arial" w:cs="Arial"/>
        </w:rPr>
        <w:t>signing of contracts. Further</w:t>
      </w:r>
      <w:r w:rsidR="005254E3">
        <w:rPr>
          <w:rFonts w:ascii="Arial" w:hAnsi="Arial" w:cs="Arial"/>
        </w:rPr>
        <w:t>more,</w:t>
      </w:r>
      <w:r w:rsidRPr="006673B3">
        <w:rPr>
          <w:rFonts w:ascii="Arial" w:hAnsi="Arial" w:cs="Arial"/>
        </w:rPr>
        <w:t xml:space="preserve"> the SETA has established a Risk, Monitoring and Evaluation unit that does </w:t>
      </w:r>
      <w:r w:rsidR="005254E3">
        <w:rPr>
          <w:rFonts w:ascii="Arial" w:hAnsi="Arial" w:cs="Arial"/>
        </w:rPr>
        <w:t xml:space="preserve">the </w:t>
      </w:r>
      <w:r w:rsidRPr="006673B3">
        <w:rPr>
          <w:rFonts w:ascii="Arial" w:hAnsi="Arial" w:cs="Arial"/>
        </w:rPr>
        <w:t xml:space="preserve">physical verification of the learners and training after contracts have been signed </w:t>
      </w:r>
      <w:r w:rsidR="005254E3">
        <w:rPr>
          <w:rFonts w:ascii="Arial" w:hAnsi="Arial" w:cs="Arial"/>
        </w:rPr>
        <w:t xml:space="preserve">and </w:t>
      </w:r>
      <w:r w:rsidRPr="006673B3">
        <w:rPr>
          <w:rFonts w:ascii="Arial" w:hAnsi="Arial" w:cs="Arial"/>
        </w:rPr>
        <w:t>before payments are made.</w:t>
      </w:r>
      <w:r w:rsidRPr="006673B3">
        <w:rPr>
          <w:rFonts w:ascii="Arial" w:hAnsi="Arial" w:cs="Arial"/>
        </w:rPr>
        <w:tab/>
      </w:r>
      <w:r w:rsidRPr="006673B3">
        <w:rPr>
          <w:rFonts w:ascii="Arial" w:hAnsi="Arial" w:cs="Arial"/>
        </w:rPr>
        <w:tab/>
      </w:r>
    </w:p>
    <w:p w:rsidR="008F4648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and Security SETA (</w:t>
      </w:r>
      <w:r w:rsidR="00436247" w:rsidRPr="006673B3">
        <w:rPr>
          <w:rFonts w:ascii="Arial" w:hAnsi="Arial" w:cs="Arial"/>
          <w:b/>
        </w:rPr>
        <w:t>SASSETA</w:t>
      </w:r>
      <w:r>
        <w:rPr>
          <w:rFonts w:ascii="Arial" w:hAnsi="Arial" w:cs="Arial"/>
          <w:b/>
        </w:rPr>
        <w:t>)</w:t>
      </w:r>
    </w:p>
    <w:p w:rsidR="00436247" w:rsidRPr="006673B3" w:rsidRDefault="006673B3" w:rsidP="00C45807">
      <w:pPr>
        <w:pStyle w:val="ListParagraph"/>
        <w:numPr>
          <w:ilvl w:val="0"/>
          <w:numId w:val="20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5254E3">
        <w:rPr>
          <w:rFonts w:ascii="Arial" w:hAnsi="Arial" w:cs="Arial"/>
        </w:rPr>
        <w:t>T</w:t>
      </w:r>
      <w:r w:rsidR="00436247" w:rsidRPr="006673B3">
        <w:rPr>
          <w:rFonts w:ascii="Arial" w:hAnsi="Arial" w:cs="Arial"/>
        </w:rPr>
        <w:t>here were 11 cases in which grant recipients did not deliver training services in return for their grant</w:t>
      </w:r>
      <w:r w:rsidR="001041D1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8A5191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5191" w:rsidRPr="006673B3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5254E3">
        <w:rPr>
          <w:rFonts w:ascii="Arial" w:hAnsi="Arial" w:cs="Arial"/>
        </w:rPr>
        <w:t>N</w:t>
      </w:r>
      <w:r w:rsidR="008A5191" w:rsidRPr="006673B3">
        <w:rPr>
          <w:rFonts w:ascii="Arial" w:hAnsi="Arial" w:cs="Arial"/>
        </w:rPr>
        <w:t>one.</w:t>
      </w:r>
    </w:p>
    <w:p w:rsidR="008A5191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5191" w:rsidRPr="006673B3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5254E3">
        <w:rPr>
          <w:rFonts w:ascii="Arial" w:hAnsi="Arial" w:cs="Arial"/>
        </w:rPr>
        <w:t>N</w:t>
      </w:r>
      <w:r w:rsidR="008A5191" w:rsidRPr="006673B3">
        <w:rPr>
          <w:rFonts w:ascii="Arial" w:hAnsi="Arial" w:cs="Arial"/>
        </w:rPr>
        <w:t>one.</w:t>
      </w:r>
    </w:p>
    <w:p w:rsidR="00436247" w:rsidRPr="006673B3" w:rsidRDefault="005254E3" w:rsidP="00C45807">
      <w:pPr>
        <w:pStyle w:val="ListParagraph"/>
        <w:numPr>
          <w:ilvl w:val="0"/>
          <w:numId w:val="20"/>
        </w:numPr>
        <w:spacing w:after="0" w:line="360" w:lineRule="auto"/>
        <w:ind w:left="709" w:hanging="71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36247" w:rsidRPr="006673B3">
        <w:rPr>
          <w:rFonts w:ascii="Arial" w:hAnsi="Arial" w:cs="Arial"/>
        </w:rPr>
        <w:t>he affected l</w:t>
      </w:r>
      <w:r w:rsidR="001041D1">
        <w:rPr>
          <w:rFonts w:ascii="Arial" w:hAnsi="Arial" w:cs="Arial"/>
        </w:rPr>
        <w:t xml:space="preserve">earners </w:t>
      </w:r>
      <w:proofErr w:type="gramStart"/>
      <w:r w:rsidR="001041D1">
        <w:rPr>
          <w:rFonts w:ascii="Arial" w:hAnsi="Arial" w:cs="Arial"/>
        </w:rPr>
        <w:t>were transferred</w:t>
      </w:r>
      <w:proofErr w:type="gramEnd"/>
      <w:r w:rsidR="001041D1">
        <w:rPr>
          <w:rFonts w:ascii="Arial" w:hAnsi="Arial" w:cs="Arial"/>
        </w:rPr>
        <w:t xml:space="preserve"> to other</w:t>
      </w:r>
      <w:r w:rsidR="00436247" w:rsidRPr="006673B3">
        <w:rPr>
          <w:rFonts w:ascii="Arial" w:hAnsi="Arial" w:cs="Arial"/>
        </w:rPr>
        <w:t xml:space="preserve"> training providers.</w:t>
      </w:r>
    </w:p>
    <w:p w:rsidR="005254E3" w:rsidRDefault="005254E3" w:rsidP="00C45807">
      <w:pPr>
        <w:numPr>
          <w:ilvl w:val="0"/>
          <w:numId w:val="20"/>
        </w:numPr>
        <w:spacing w:after="0" w:line="360" w:lineRule="auto"/>
        <w:ind w:left="709" w:hanging="712"/>
        <w:contextualSpacing/>
        <w:jc w:val="both"/>
        <w:rPr>
          <w:rFonts w:ascii="Arial" w:hAnsi="Arial" w:cs="Arial"/>
        </w:rPr>
      </w:pPr>
      <w:r w:rsidRPr="005254E3">
        <w:rPr>
          <w:rFonts w:ascii="Arial" w:hAnsi="Arial" w:cs="Arial"/>
        </w:rPr>
        <w:t>The grant recipients did not receive any further grants.</w:t>
      </w:r>
    </w:p>
    <w:p w:rsidR="00436247" w:rsidRPr="00C45807" w:rsidRDefault="00436247" w:rsidP="00C45807">
      <w:pPr>
        <w:pStyle w:val="ListParagraph"/>
        <w:numPr>
          <w:ilvl w:val="0"/>
          <w:numId w:val="20"/>
        </w:numPr>
        <w:spacing w:line="360" w:lineRule="auto"/>
        <w:ind w:left="709" w:hanging="712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SASSETA </w:t>
      </w:r>
      <w:r w:rsidR="005254E3">
        <w:rPr>
          <w:rFonts w:ascii="Arial" w:hAnsi="Arial" w:cs="Arial"/>
        </w:rPr>
        <w:t xml:space="preserve">has </w:t>
      </w:r>
      <w:r w:rsidRPr="006673B3">
        <w:rPr>
          <w:rFonts w:ascii="Arial" w:hAnsi="Arial" w:cs="Arial"/>
        </w:rPr>
        <w:t>r</w:t>
      </w:r>
      <w:r w:rsidR="005254E3">
        <w:rPr>
          <w:rFonts w:ascii="Arial" w:hAnsi="Arial" w:cs="Arial"/>
        </w:rPr>
        <w:t xml:space="preserve">evised its Discretionary Grant Policy and </w:t>
      </w:r>
      <w:r w:rsidRPr="006673B3">
        <w:rPr>
          <w:rFonts w:ascii="Arial" w:hAnsi="Arial" w:cs="Arial"/>
        </w:rPr>
        <w:t>Grant Standard Operating Procedures. Before a grant is awarded</w:t>
      </w:r>
      <w:r w:rsidR="005254E3">
        <w:rPr>
          <w:rFonts w:ascii="Arial" w:hAnsi="Arial" w:cs="Arial"/>
        </w:rPr>
        <w:t>,</w:t>
      </w:r>
      <w:r w:rsidRPr="006673B3">
        <w:rPr>
          <w:rFonts w:ascii="Arial" w:hAnsi="Arial" w:cs="Arial"/>
        </w:rPr>
        <w:t xml:space="preserve"> SASSETA conducts due diligence on prospective recipients</w:t>
      </w:r>
      <w:r w:rsidR="005254E3">
        <w:rPr>
          <w:rFonts w:ascii="Arial" w:hAnsi="Arial" w:cs="Arial"/>
        </w:rPr>
        <w:t xml:space="preserve"> </w:t>
      </w:r>
      <w:r w:rsidR="005F3B26">
        <w:rPr>
          <w:rFonts w:ascii="Arial" w:hAnsi="Arial" w:cs="Arial"/>
        </w:rPr>
        <w:t>and</w:t>
      </w:r>
      <w:r w:rsidR="005254E3">
        <w:rPr>
          <w:rFonts w:ascii="Arial" w:hAnsi="Arial" w:cs="Arial"/>
        </w:rPr>
        <w:t xml:space="preserve"> reviews</w:t>
      </w:r>
      <w:r w:rsidR="005254E3" w:rsidRPr="006673B3">
        <w:rPr>
          <w:rFonts w:ascii="Arial" w:hAnsi="Arial" w:cs="Arial"/>
        </w:rPr>
        <w:t xml:space="preserve"> the recipients past track record.</w:t>
      </w:r>
    </w:p>
    <w:p w:rsidR="00436247" w:rsidRPr="006673B3" w:rsidRDefault="006673B3" w:rsidP="00C458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 Education and Training Authority (</w:t>
      </w:r>
      <w:r w:rsidR="00436247" w:rsidRPr="006673B3">
        <w:rPr>
          <w:rFonts w:ascii="Arial" w:hAnsi="Arial" w:cs="Arial"/>
          <w:b/>
        </w:rPr>
        <w:t>TETA</w:t>
      </w:r>
      <w:r>
        <w:rPr>
          <w:rFonts w:ascii="Arial" w:hAnsi="Arial" w:cs="Arial"/>
          <w:b/>
        </w:rPr>
        <w:t>)</w:t>
      </w:r>
    </w:p>
    <w:p w:rsidR="00641CCE" w:rsidRDefault="006673B3" w:rsidP="00C45807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709" w:hanging="712"/>
        <w:jc w:val="both"/>
        <w:rPr>
          <w:rFonts w:ascii="Arial" w:hAnsi="Arial" w:cs="Arial"/>
        </w:rPr>
      </w:pPr>
      <w:r w:rsidRPr="00641CCE">
        <w:rPr>
          <w:rFonts w:ascii="Arial" w:hAnsi="Arial" w:cs="Arial"/>
        </w:rPr>
        <w:t xml:space="preserve">(a) </w:t>
      </w:r>
      <w:r w:rsidR="00C45807">
        <w:rPr>
          <w:rFonts w:ascii="Arial" w:hAnsi="Arial" w:cs="Arial"/>
        </w:rPr>
        <w:tab/>
      </w:r>
      <w:r w:rsidR="005254E3">
        <w:rPr>
          <w:rFonts w:ascii="Arial" w:hAnsi="Arial" w:cs="Arial"/>
        </w:rPr>
        <w:t>T</w:t>
      </w:r>
      <w:r w:rsidR="00436247" w:rsidRPr="00641CCE">
        <w:rPr>
          <w:rFonts w:ascii="Arial" w:hAnsi="Arial" w:cs="Arial"/>
        </w:rPr>
        <w:t>h</w:t>
      </w:r>
      <w:r w:rsidR="005254E3">
        <w:rPr>
          <w:rFonts w:ascii="Arial" w:hAnsi="Arial" w:cs="Arial"/>
        </w:rPr>
        <w:t xml:space="preserve">ere were 18 cases in which </w:t>
      </w:r>
      <w:r w:rsidR="00436247" w:rsidRPr="00641CCE">
        <w:rPr>
          <w:rFonts w:ascii="Arial" w:hAnsi="Arial" w:cs="Arial"/>
        </w:rPr>
        <w:t>grant recipients did not deliver training services in return for their gran</w:t>
      </w:r>
      <w:r w:rsidR="005254E3">
        <w:rPr>
          <w:rFonts w:ascii="Arial" w:hAnsi="Arial" w:cs="Arial"/>
        </w:rPr>
        <w:t>t</w:t>
      </w:r>
      <w:r w:rsidR="00776F56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641CCE" w:rsidRDefault="00C45807" w:rsidP="00C45807">
      <w:pPr>
        <w:pStyle w:val="ListParagraph"/>
        <w:tabs>
          <w:tab w:val="left" w:pos="284"/>
        </w:tabs>
        <w:spacing w:line="360" w:lineRule="auto"/>
        <w:ind w:left="709" w:hanging="7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3B3" w:rsidRPr="00641CCE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5254E3">
        <w:rPr>
          <w:rFonts w:ascii="Arial" w:hAnsi="Arial" w:cs="Arial"/>
        </w:rPr>
        <w:t>T</w:t>
      </w:r>
      <w:r w:rsidR="00436247" w:rsidRPr="00641CCE">
        <w:rPr>
          <w:rFonts w:ascii="Arial" w:hAnsi="Arial" w:cs="Arial"/>
        </w:rPr>
        <w:t>here were 13 cases in which grant recipients did not deliver training ser</w:t>
      </w:r>
      <w:r w:rsidR="005254E3">
        <w:rPr>
          <w:rFonts w:ascii="Arial" w:hAnsi="Arial" w:cs="Arial"/>
        </w:rPr>
        <w:t>vices in return for their grant</w:t>
      </w:r>
      <w:r w:rsidR="00776F56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received.</w:t>
      </w:r>
    </w:p>
    <w:p w:rsidR="00436247" w:rsidRPr="006673B3" w:rsidRDefault="00C45807" w:rsidP="00C45807">
      <w:pPr>
        <w:pStyle w:val="ListParagraph"/>
        <w:tabs>
          <w:tab w:val="left" w:pos="284"/>
        </w:tabs>
        <w:spacing w:line="360" w:lineRule="auto"/>
        <w:ind w:left="709" w:hanging="7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673B3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5254E3">
        <w:rPr>
          <w:rFonts w:ascii="Arial" w:hAnsi="Arial" w:cs="Arial"/>
        </w:rPr>
        <w:t>T</w:t>
      </w:r>
      <w:r w:rsidR="00436247" w:rsidRPr="006673B3">
        <w:rPr>
          <w:rFonts w:ascii="Arial" w:hAnsi="Arial" w:cs="Arial"/>
        </w:rPr>
        <w:t>h</w:t>
      </w:r>
      <w:r w:rsidR="005254E3">
        <w:rPr>
          <w:rFonts w:ascii="Arial" w:hAnsi="Arial" w:cs="Arial"/>
        </w:rPr>
        <w:t xml:space="preserve">ere were 17 cases in which </w:t>
      </w:r>
      <w:r w:rsidR="00436247" w:rsidRPr="006673B3">
        <w:rPr>
          <w:rFonts w:ascii="Arial" w:hAnsi="Arial" w:cs="Arial"/>
        </w:rPr>
        <w:t>grant recipients did not deliver training services in return for their gran</w:t>
      </w:r>
      <w:r w:rsidR="005254E3">
        <w:rPr>
          <w:rFonts w:ascii="Arial" w:hAnsi="Arial" w:cs="Arial"/>
        </w:rPr>
        <w:t>t</w:t>
      </w:r>
      <w:r w:rsidR="00776F56">
        <w:rPr>
          <w:rFonts w:ascii="Arial" w:hAnsi="Arial" w:cs="Arial"/>
        </w:rPr>
        <w:t>s</w:t>
      </w:r>
      <w:r w:rsidR="005254E3">
        <w:rPr>
          <w:rFonts w:ascii="Arial" w:hAnsi="Arial" w:cs="Arial"/>
        </w:rPr>
        <w:t xml:space="preserve"> received</w:t>
      </w:r>
      <w:proofErr w:type="gramEnd"/>
      <w:r w:rsidR="005254E3">
        <w:rPr>
          <w:rFonts w:ascii="Arial" w:hAnsi="Arial" w:cs="Arial"/>
        </w:rPr>
        <w:t>.</w:t>
      </w:r>
    </w:p>
    <w:p w:rsidR="00641CCE" w:rsidRDefault="006673B3" w:rsidP="00C45807">
      <w:pPr>
        <w:pStyle w:val="ListParagraph"/>
        <w:numPr>
          <w:ilvl w:val="0"/>
          <w:numId w:val="2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641CCE">
        <w:rPr>
          <w:rFonts w:ascii="Arial" w:hAnsi="Arial" w:cs="Arial"/>
        </w:rPr>
        <w:t>C</w:t>
      </w:r>
      <w:r w:rsidR="00436247" w:rsidRPr="00641CCE">
        <w:rPr>
          <w:rFonts w:ascii="Arial" w:hAnsi="Arial" w:cs="Arial"/>
        </w:rPr>
        <w:t xml:space="preserve">ontracts for affected recipients </w:t>
      </w:r>
      <w:proofErr w:type="gramStart"/>
      <w:r w:rsidR="00436247" w:rsidRPr="00641CCE">
        <w:rPr>
          <w:rFonts w:ascii="Arial" w:hAnsi="Arial" w:cs="Arial"/>
        </w:rPr>
        <w:t>were cancelled</w:t>
      </w:r>
      <w:proofErr w:type="gramEnd"/>
      <w:r w:rsidR="00436247" w:rsidRPr="00641CCE">
        <w:rPr>
          <w:rFonts w:ascii="Arial" w:hAnsi="Arial" w:cs="Arial"/>
        </w:rPr>
        <w:t xml:space="preserve"> and funds we</w:t>
      </w:r>
      <w:r w:rsidRPr="00641CCE">
        <w:rPr>
          <w:rFonts w:ascii="Arial" w:hAnsi="Arial" w:cs="Arial"/>
        </w:rPr>
        <w:t>re</w:t>
      </w:r>
      <w:r w:rsidR="00436247" w:rsidRPr="00641CCE">
        <w:rPr>
          <w:rFonts w:ascii="Arial" w:hAnsi="Arial" w:cs="Arial"/>
        </w:rPr>
        <w:t xml:space="preserve"> reallocated to other performing </w:t>
      </w:r>
      <w:r w:rsidR="00776F56" w:rsidRPr="006673B3">
        <w:rPr>
          <w:rFonts w:ascii="Arial" w:hAnsi="Arial" w:cs="Arial"/>
        </w:rPr>
        <w:t>training providers</w:t>
      </w:r>
      <w:r w:rsidR="00436247" w:rsidRPr="00641CCE">
        <w:rPr>
          <w:rFonts w:ascii="Arial" w:hAnsi="Arial" w:cs="Arial"/>
        </w:rPr>
        <w:t xml:space="preserve">. </w:t>
      </w:r>
      <w:r w:rsidR="00641CCE" w:rsidRPr="00641CCE">
        <w:rPr>
          <w:rFonts w:ascii="Arial" w:hAnsi="Arial" w:cs="Arial"/>
        </w:rPr>
        <w:t xml:space="preserve"> </w:t>
      </w:r>
    </w:p>
    <w:p w:rsidR="00641CCE" w:rsidRDefault="00436247" w:rsidP="00C45807">
      <w:pPr>
        <w:pStyle w:val="ListParagraph"/>
        <w:numPr>
          <w:ilvl w:val="0"/>
          <w:numId w:val="2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641CCE">
        <w:rPr>
          <w:rFonts w:ascii="Arial" w:hAnsi="Arial" w:cs="Arial"/>
        </w:rPr>
        <w:t xml:space="preserve">TETA </w:t>
      </w:r>
      <w:r w:rsidR="005254E3">
        <w:rPr>
          <w:rFonts w:ascii="Arial" w:hAnsi="Arial" w:cs="Arial"/>
        </w:rPr>
        <w:t xml:space="preserve">has </w:t>
      </w:r>
      <w:r w:rsidRPr="00641CCE">
        <w:rPr>
          <w:rFonts w:ascii="Arial" w:hAnsi="Arial" w:cs="Arial"/>
        </w:rPr>
        <w:t>established that some recipients had capacity challenges and some h</w:t>
      </w:r>
      <w:r w:rsidR="005254E3">
        <w:rPr>
          <w:rFonts w:ascii="Arial" w:hAnsi="Arial" w:cs="Arial"/>
        </w:rPr>
        <w:t>ad valid reasons for the delays. R</w:t>
      </w:r>
      <w:r w:rsidRPr="00641CCE">
        <w:rPr>
          <w:rFonts w:ascii="Arial" w:hAnsi="Arial" w:cs="Arial"/>
        </w:rPr>
        <w:t xml:space="preserve">ecipients with capacity challenges </w:t>
      </w:r>
      <w:proofErr w:type="gramStart"/>
      <w:r w:rsidRPr="00641CCE">
        <w:rPr>
          <w:rFonts w:ascii="Arial" w:hAnsi="Arial" w:cs="Arial"/>
        </w:rPr>
        <w:t>were subjected</w:t>
      </w:r>
      <w:proofErr w:type="gramEnd"/>
      <w:r w:rsidRPr="00641CCE">
        <w:rPr>
          <w:rFonts w:ascii="Arial" w:hAnsi="Arial" w:cs="Arial"/>
        </w:rPr>
        <w:t xml:space="preserve"> to a capacity building intervention and those with valid reasons for delays were reconsidered</w:t>
      </w:r>
      <w:r w:rsidR="00776F56">
        <w:rPr>
          <w:rFonts w:ascii="Arial" w:hAnsi="Arial" w:cs="Arial"/>
        </w:rPr>
        <w:t>,</w:t>
      </w:r>
      <w:r w:rsidRPr="00641CCE">
        <w:rPr>
          <w:rFonts w:ascii="Arial" w:hAnsi="Arial" w:cs="Arial"/>
        </w:rPr>
        <w:t xml:space="preserve"> thus affording them an opportunity to implement training </w:t>
      </w:r>
      <w:r w:rsidR="005254E3">
        <w:rPr>
          <w:rFonts w:ascii="Arial" w:hAnsi="Arial" w:cs="Arial"/>
        </w:rPr>
        <w:t xml:space="preserve">programmes </w:t>
      </w:r>
      <w:r w:rsidR="00E2540B">
        <w:rPr>
          <w:rFonts w:ascii="Arial" w:hAnsi="Arial" w:cs="Arial"/>
        </w:rPr>
        <w:t>in the following financial year</w:t>
      </w:r>
      <w:r w:rsidRPr="00641CCE">
        <w:rPr>
          <w:rFonts w:ascii="Arial" w:hAnsi="Arial" w:cs="Arial"/>
        </w:rPr>
        <w:t>.</w:t>
      </w:r>
      <w:r w:rsidR="00641CCE" w:rsidRPr="00641CCE">
        <w:rPr>
          <w:rFonts w:ascii="Arial" w:hAnsi="Arial" w:cs="Arial"/>
        </w:rPr>
        <w:t xml:space="preserve"> </w:t>
      </w:r>
    </w:p>
    <w:p w:rsidR="00436247" w:rsidRDefault="00436247" w:rsidP="00C45807">
      <w:pPr>
        <w:pStyle w:val="ListParagraph"/>
        <w:numPr>
          <w:ilvl w:val="0"/>
          <w:numId w:val="2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641CCE">
        <w:rPr>
          <w:rFonts w:ascii="Arial" w:hAnsi="Arial" w:cs="Arial"/>
        </w:rPr>
        <w:t>TETA has introduced more stringent due diligence procedures to ensure that all applicants have capacity to implement awarded projects. TETA also check</w:t>
      </w:r>
      <w:r w:rsidR="006673B3" w:rsidRPr="00641CCE">
        <w:rPr>
          <w:rFonts w:ascii="Arial" w:hAnsi="Arial" w:cs="Arial"/>
        </w:rPr>
        <w:t>s</w:t>
      </w:r>
      <w:r w:rsidRPr="00641CCE">
        <w:rPr>
          <w:rFonts w:ascii="Arial" w:hAnsi="Arial" w:cs="Arial"/>
        </w:rPr>
        <w:t xml:space="preserve"> the </w:t>
      </w:r>
      <w:proofErr w:type="gramStart"/>
      <w:r w:rsidRPr="00641CCE">
        <w:rPr>
          <w:rFonts w:ascii="Arial" w:hAnsi="Arial" w:cs="Arial"/>
        </w:rPr>
        <w:t>track record</w:t>
      </w:r>
      <w:proofErr w:type="gramEnd"/>
      <w:r w:rsidRPr="00641CCE">
        <w:rPr>
          <w:rFonts w:ascii="Arial" w:hAnsi="Arial" w:cs="Arial"/>
        </w:rPr>
        <w:t xml:space="preserve"> of the applicant’s performance in implementing past awarded projects.</w:t>
      </w:r>
    </w:p>
    <w:p w:rsidR="00776F56" w:rsidRDefault="00776F56" w:rsidP="00776F56">
      <w:pPr>
        <w:spacing w:line="360" w:lineRule="auto"/>
        <w:jc w:val="both"/>
        <w:rPr>
          <w:rFonts w:ascii="Arial" w:hAnsi="Arial" w:cs="Arial"/>
        </w:rPr>
      </w:pPr>
    </w:p>
    <w:p w:rsidR="00776F56" w:rsidRDefault="00776F56" w:rsidP="00776F56">
      <w:pPr>
        <w:spacing w:line="360" w:lineRule="auto"/>
        <w:jc w:val="both"/>
        <w:rPr>
          <w:rFonts w:ascii="Arial" w:hAnsi="Arial" w:cs="Arial"/>
        </w:rPr>
      </w:pPr>
    </w:p>
    <w:p w:rsidR="00776F56" w:rsidRPr="00776F56" w:rsidRDefault="00776F56" w:rsidP="00776F56">
      <w:pPr>
        <w:spacing w:line="360" w:lineRule="auto"/>
        <w:jc w:val="both"/>
        <w:rPr>
          <w:rFonts w:ascii="Arial" w:hAnsi="Arial" w:cs="Arial"/>
        </w:rPr>
      </w:pPr>
    </w:p>
    <w:p w:rsidR="00FE3C32" w:rsidRPr="006673B3" w:rsidRDefault="001E53EA" w:rsidP="00C45807">
      <w:pPr>
        <w:spacing w:after="0"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SETAs </w:t>
      </w:r>
      <w:r w:rsidR="00E2540B">
        <w:rPr>
          <w:rFonts w:ascii="Arial" w:hAnsi="Arial" w:cs="Arial"/>
        </w:rPr>
        <w:t xml:space="preserve">have </w:t>
      </w:r>
      <w:r w:rsidRPr="006673B3">
        <w:rPr>
          <w:rFonts w:ascii="Arial" w:hAnsi="Arial" w:cs="Arial"/>
        </w:rPr>
        <w:t xml:space="preserve">put </w:t>
      </w:r>
      <w:r w:rsidR="007B3CAB" w:rsidRPr="006673B3">
        <w:rPr>
          <w:rFonts w:ascii="Arial" w:hAnsi="Arial" w:cs="Arial"/>
        </w:rPr>
        <w:t>various plans and measures in place</w:t>
      </w:r>
      <w:r w:rsidR="003D3C07" w:rsidRPr="006673B3">
        <w:rPr>
          <w:rFonts w:ascii="Arial" w:hAnsi="Arial" w:cs="Arial"/>
        </w:rPr>
        <w:t xml:space="preserve"> to ensure that grant recipients deliver </w:t>
      </w:r>
      <w:r w:rsidR="00776F56">
        <w:rPr>
          <w:rFonts w:ascii="Arial" w:hAnsi="Arial" w:cs="Arial"/>
        </w:rPr>
        <w:t xml:space="preserve">on their </w:t>
      </w:r>
      <w:r w:rsidR="003D3C07" w:rsidRPr="006673B3">
        <w:rPr>
          <w:rFonts w:ascii="Arial" w:hAnsi="Arial" w:cs="Arial"/>
        </w:rPr>
        <w:t>training</w:t>
      </w:r>
      <w:r w:rsidR="00776F56">
        <w:rPr>
          <w:rFonts w:ascii="Arial" w:hAnsi="Arial" w:cs="Arial"/>
        </w:rPr>
        <w:t xml:space="preserve"> commitments, such as</w:t>
      </w:r>
      <w:r w:rsidR="007B3CAB" w:rsidRPr="006673B3">
        <w:rPr>
          <w:rFonts w:ascii="Arial" w:hAnsi="Arial" w:cs="Arial"/>
        </w:rPr>
        <w:t xml:space="preserve"> among</w:t>
      </w:r>
      <w:r w:rsidR="00776F56">
        <w:rPr>
          <w:rFonts w:ascii="Arial" w:hAnsi="Arial" w:cs="Arial"/>
        </w:rPr>
        <w:t>st</w:t>
      </w:r>
      <w:r w:rsidR="007B3CAB" w:rsidRPr="006673B3">
        <w:rPr>
          <w:rFonts w:ascii="Arial" w:hAnsi="Arial" w:cs="Arial"/>
        </w:rPr>
        <w:t xml:space="preserve"> other</w:t>
      </w:r>
      <w:r w:rsidR="00776F56">
        <w:rPr>
          <w:rFonts w:ascii="Arial" w:hAnsi="Arial" w:cs="Arial"/>
        </w:rPr>
        <w:t>s:</w:t>
      </w:r>
    </w:p>
    <w:p w:rsidR="00167DE9" w:rsidRPr="006673B3" w:rsidRDefault="00765213" w:rsidP="006673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The</w:t>
      </w:r>
      <w:r w:rsidR="001E53EA" w:rsidRPr="006673B3">
        <w:rPr>
          <w:rFonts w:ascii="Arial" w:hAnsi="Arial" w:cs="Arial"/>
        </w:rPr>
        <w:t xml:space="preserve"> Service Level Agreement </w:t>
      </w:r>
      <w:r w:rsidRPr="006673B3">
        <w:rPr>
          <w:rFonts w:ascii="Arial" w:hAnsi="Arial" w:cs="Arial"/>
        </w:rPr>
        <w:t>entered with</w:t>
      </w:r>
      <w:r w:rsidR="001E53EA" w:rsidRPr="006673B3">
        <w:rPr>
          <w:rFonts w:ascii="Arial" w:hAnsi="Arial" w:cs="Arial"/>
        </w:rPr>
        <w:t xml:space="preserve"> </w:t>
      </w:r>
      <w:r w:rsidR="00776F56">
        <w:rPr>
          <w:rFonts w:ascii="Arial" w:hAnsi="Arial" w:cs="Arial"/>
        </w:rPr>
        <w:t>training p</w:t>
      </w:r>
      <w:r w:rsidR="00167DE9" w:rsidRPr="006673B3">
        <w:rPr>
          <w:rFonts w:ascii="Arial" w:hAnsi="Arial" w:cs="Arial"/>
        </w:rPr>
        <w:t xml:space="preserve">roviders </w:t>
      </w:r>
      <w:r w:rsidRPr="006673B3">
        <w:rPr>
          <w:rFonts w:ascii="Arial" w:hAnsi="Arial" w:cs="Arial"/>
        </w:rPr>
        <w:t xml:space="preserve">in which the latter is obliged </w:t>
      </w:r>
      <w:r w:rsidR="00167DE9" w:rsidRPr="006673B3">
        <w:rPr>
          <w:rFonts w:ascii="Arial" w:hAnsi="Arial" w:cs="Arial"/>
        </w:rPr>
        <w:t xml:space="preserve">to deliver on the promise to provide </w:t>
      </w:r>
      <w:r w:rsidR="006673B3">
        <w:rPr>
          <w:rFonts w:ascii="Arial" w:hAnsi="Arial" w:cs="Arial"/>
        </w:rPr>
        <w:t>training;</w:t>
      </w:r>
    </w:p>
    <w:p w:rsidR="00776F56" w:rsidRDefault="00776F56" w:rsidP="006673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</w:t>
      </w:r>
      <w:r w:rsidR="00765213" w:rsidRPr="006673B3">
        <w:rPr>
          <w:rFonts w:ascii="Arial" w:hAnsi="Arial" w:cs="Arial"/>
        </w:rPr>
        <w:t xml:space="preserve"> </w:t>
      </w:r>
      <w:r w:rsidR="00167DE9" w:rsidRPr="006673B3">
        <w:rPr>
          <w:rFonts w:ascii="Arial" w:hAnsi="Arial" w:cs="Arial"/>
        </w:rPr>
        <w:t>providers</w:t>
      </w:r>
      <w:r w:rsidR="00765213" w:rsidRPr="006673B3">
        <w:rPr>
          <w:rFonts w:ascii="Arial" w:hAnsi="Arial" w:cs="Arial"/>
        </w:rPr>
        <w:t xml:space="preserve"> must</w:t>
      </w:r>
      <w:r w:rsidR="00167DE9" w:rsidRPr="006673B3">
        <w:rPr>
          <w:rFonts w:ascii="Arial" w:hAnsi="Arial" w:cs="Arial"/>
        </w:rPr>
        <w:t xml:space="preserve"> submit proof that training has taken place before the grant is paid</w:t>
      </w:r>
      <w:r>
        <w:rPr>
          <w:rFonts w:ascii="Arial" w:hAnsi="Arial" w:cs="Arial"/>
        </w:rPr>
        <w:t>.</w:t>
      </w:r>
    </w:p>
    <w:p w:rsidR="00167DE9" w:rsidRPr="006673B3" w:rsidRDefault="00776F56" w:rsidP="006673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</w:t>
      </w:r>
      <w:r w:rsidR="00167DE9" w:rsidRPr="006673B3">
        <w:rPr>
          <w:rFonts w:ascii="Arial" w:hAnsi="Arial" w:cs="Arial"/>
        </w:rPr>
        <w:t>providers</w:t>
      </w:r>
      <w:r w:rsidR="00765213" w:rsidRPr="006673B3">
        <w:rPr>
          <w:rFonts w:ascii="Arial" w:hAnsi="Arial" w:cs="Arial"/>
        </w:rPr>
        <w:t xml:space="preserve"> are paid </w:t>
      </w:r>
      <w:r w:rsidR="00167DE9" w:rsidRPr="006673B3">
        <w:rPr>
          <w:rFonts w:ascii="Arial" w:hAnsi="Arial" w:cs="Arial"/>
        </w:rPr>
        <w:t xml:space="preserve">based on </w:t>
      </w:r>
      <w:r w:rsidR="00E2540B">
        <w:rPr>
          <w:rFonts w:ascii="Arial" w:hAnsi="Arial" w:cs="Arial"/>
        </w:rPr>
        <w:t xml:space="preserve">the </w:t>
      </w:r>
      <w:r w:rsidR="00765213" w:rsidRPr="006673B3">
        <w:rPr>
          <w:rFonts w:ascii="Arial" w:hAnsi="Arial" w:cs="Arial"/>
        </w:rPr>
        <w:t xml:space="preserve">submission of a report </w:t>
      </w:r>
      <w:r w:rsidR="00E2540B">
        <w:rPr>
          <w:rFonts w:ascii="Arial" w:hAnsi="Arial" w:cs="Arial"/>
        </w:rPr>
        <w:t xml:space="preserve">and </w:t>
      </w:r>
      <w:r w:rsidR="00167DE9" w:rsidRPr="006673B3">
        <w:rPr>
          <w:rFonts w:ascii="Arial" w:hAnsi="Arial" w:cs="Arial"/>
        </w:rPr>
        <w:t xml:space="preserve">deliverables </w:t>
      </w:r>
      <w:r w:rsidR="00E2540B">
        <w:rPr>
          <w:rFonts w:ascii="Arial" w:hAnsi="Arial" w:cs="Arial"/>
        </w:rPr>
        <w:t xml:space="preserve">having been </w:t>
      </w:r>
      <w:r w:rsidR="00167DE9" w:rsidRPr="006673B3">
        <w:rPr>
          <w:rFonts w:ascii="Arial" w:hAnsi="Arial" w:cs="Arial"/>
        </w:rPr>
        <w:t>achieved</w:t>
      </w:r>
      <w:r w:rsidR="006673B3">
        <w:rPr>
          <w:rFonts w:ascii="Arial" w:hAnsi="Arial" w:cs="Arial"/>
        </w:rPr>
        <w:t>; and</w:t>
      </w:r>
    </w:p>
    <w:p w:rsidR="00167DE9" w:rsidRPr="006673B3" w:rsidRDefault="00E2540B" w:rsidP="006673B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Implementation of p</w:t>
      </w:r>
      <w:r w:rsidR="00167DE9" w:rsidRPr="006673B3">
        <w:rPr>
          <w:rFonts w:ascii="Arial" w:hAnsi="Arial" w:cs="Arial"/>
        </w:rPr>
        <w:t xml:space="preserve">roject </w:t>
      </w:r>
      <w:r w:rsidR="00765213" w:rsidRPr="006673B3">
        <w:rPr>
          <w:rFonts w:ascii="Arial" w:hAnsi="Arial" w:cs="Arial"/>
        </w:rPr>
        <w:t xml:space="preserve">management and </w:t>
      </w:r>
      <w:r w:rsidR="00167DE9" w:rsidRPr="006673B3">
        <w:rPr>
          <w:rFonts w:ascii="Arial" w:hAnsi="Arial" w:cs="Arial"/>
        </w:rPr>
        <w:t>monitoring system</w:t>
      </w:r>
      <w:r>
        <w:rPr>
          <w:rFonts w:ascii="Arial" w:hAnsi="Arial" w:cs="Arial"/>
        </w:rPr>
        <w:t>s.</w:t>
      </w:r>
    </w:p>
    <w:p w:rsidR="00167DE9" w:rsidRPr="006673B3" w:rsidRDefault="00167DE9" w:rsidP="006673B3">
      <w:pPr>
        <w:spacing w:line="360" w:lineRule="auto"/>
        <w:jc w:val="both"/>
        <w:rPr>
          <w:rFonts w:ascii="Arial" w:hAnsi="Arial" w:cs="Arial"/>
        </w:rPr>
      </w:pPr>
    </w:p>
    <w:p w:rsidR="003D3C07" w:rsidRPr="006673B3" w:rsidRDefault="003D3C07" w:rsidP="006673B3">
      <w:pPr>
        <w:spacing w:line="360" w:lineRule="auto"/>
        <w:jc w:val="both"/>
        <w:rPr>
          <w:rFonts w:ascii="Arial" w:hAnsi="Arial" w:cs="Arial"/>
        </w:rPr>
      </w:pPr>
    </w:p>
    <w:p w:rsidR="006673B3" w:rsidRDefault="006673B3" w:rsidP="006673B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6020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COMPILER/CONTACT PERSONS:</w:t>
      </w:r>
      <w:r w:rsidR="006673B3">
        <w:rPr>
          <w:rFonts w:ascii="Arial" w:hAnsi="Arial" w:cs="Arial"/>
        </w:rPr>
        <w:t xml:space="preserve"> Mr M </w:t>
      </w:r>
      <w:r w:rsidR="000D6020" w:rsidRPr="006673B3">
        <w:rPr>
          <w:rFonts w:ascii="Arial" w:hAnsi="Arial" w:cs="Arial"/>
        </w:rPr>
        <w:t>Ngubane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EXT:</w:t>
      </w:r>
      <w:r w:rsidR="006673B3">
        <w:rPr>
          <w:rFonts w:ascii="Arial" w:hAnsi="Arial" w:cs="Arial"/>
        </w:rPr>
        <w:t xml:space="preserve"> </w:t>
      </w:r>
      <w:r w:rsidR="000D6020" w:rsidRPr="006673B3">
        <w:rPr>
          <w:rFonts w:ascii="Arial" w:hAnsi="Arial" w:cs="Arial"/>
        </w:rPr>
        <w:t>5896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DIRECTOR – GENERAL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STATUS: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DATE: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 xml:space="preserve">QUESTION </w:t>
      </w:r>
      <w:r w:rsidR="00D80F72" w:rsidRPr="006673B3">
        <w:rPr>
          <w:rFonts w:ascii="Arial" w:hAnsi="Arial" w:cs="Arial"/>
        </w:rPr>
        <w:t>1936</w:t>
      </w:r>
      <w:r w:rsidRPr="006673B3">
        <w:rPr>
          <w:rFonts w:ascii="Arial" w:hAnsi="Arial" w:cs="Arial"/>
        </w:rPr>
        <w:t xml:space="preserve"> APPROVED/NOT APPROVED/AMENDED 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Dr B</w:t>
      </w:r>
      <w:r w:rsidR="006673B3">
        <w:rPr>
          <w:rFonts w:ascii="Arial" w:hAnsi="Arial" w:cs="Arial"/>
        </w:rPr>
        <w:t>E</w:t>
      </w:r>
      <w:r w:rsidRPr="006673B3">
        <w:rPr>
          <w:rFonts w:ascii="Arial" w:hAnsi="Arial" w:cs="Arial"/>
        </w:rPr>
        <w:t xml:space="preserve"> NZIMANDE, MP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MINISTER OF HIGHER EDUCATION AND TRAINING</w:t>
      </w:r>
    </w:p>
    <w:p w:rsidR="00A37621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STATUS:</w:t>
      </w:r>
    </w:p>
    <w:p w:rsidR="00D812CE" w:rsidRPr="006673B3" w:rsidRDefault="00A37621" w:rsidP="006673B3">
      <w:pPr>
        <w:spacing w:line="360" w:lineRule="auto"/>
        <w:jc w:val="both"/>
        <w:rPr>
          <w:rFonts w:ascii="Arial" w:hAnsi="Arial" w:cs="Arial"/>
        </w:rPr>
      </w:pPr>
      <w:r w:rsidRPr="006673B3">
        <w:rPr>
          <w:rFonts w:ascii="Arial" w:hAnsi="Arial" w:cs="Arial"/>
        </w:rPr>
        <w:t>DATE:</w:t>
      </w:r>
    </w:p>
    <w:sectPr w:rsidR="00D812CE" w:rsidRPr="006673B3" w:rsidSect="00C4580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35"/>
    <w:multiLevelType w:val="hybridMultilevel"/>
    <w:tmpl w:val="E1CCE76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E1064"/>
    <w:multiLevelType w:val="hybridMultilevel"/>
    <w:tmpl w:val="21504B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E94751C"/>
    <w:multiLevelType w:val="hybridMultilevel"/>
    <w:tmpl w:val="D9D69F68"/>
    <w:lvl w:ilvl="0" w:tplc="6CF6B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45FC5"/>
    <w:multiLevelType w:val="hybridMultilevel"/>
    <w:tmpl w:val="F354691A"/>
    <w:lvl w:ilvl="0" w:tplc="1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E3387E"/>
    <w:multiLevelType w:val="hybridMultilevel"/>
    <w:tmpl w:val="A19A37AC"/>
    <w:lvl w:ilvl="0" w:tplc="E0E66B8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353F7244"/>
    <w:multiLevelType w:val="hybridMultilevel"/>
    <w:tmpl w:val="E45889C0"/>
    <w:lvl w:ilvl="0" w:tplc="1C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5AD5CA4"/>
    <w:multiLevelType w:val="hybridMultilevel"/>
    <w:tmpl w:val="3E2A389C"/>
    <w:lvl w:ilvl="0" w:tplc="C5B0A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7214C"/>
    <w:multiLevelType w:val="hybridMultilevel"/>
    <w:tmpl w:val="D9D69F68"/>
    <w:lvl w:ilvl="0" w:tplc="6CF6B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2C08"/>
    <w:multiLevelType w:val="hybridMultilevel"/>
    <w:tmpl w:val="761CB0B8"/>
    <w:lvl w:ilvl="0" w:tplc="F1E22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5C8A6487"/>
    <w:multiLevelType w:val="hybridMultilevel"/>
    <w:tmpl w:val="7C6469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C22F2"/>
    <w:multiLevelType w:val="hybridMultilevel"/>
    <w:tmpl w:val="989ACA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C6190"/>
    <w:multiLevelType w:val="hybridMultilevel"/>
    <w:tmpl w:val="2216EA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B09BB"/>
    <w:multiLevelType w:val="hybridMultilevel"/>
    <w:tmpl w:val="64BE2C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B39F8"/>
    <w:multiLevelType w:val="hybridMultilevel"/>
    <w:tmpl w:val="7FB2778A"/>
    <w:lvl w:ilvl="0" w:tplc="9A74F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A804C5"/>
    <w:multiLevelType w:val="hybridMultilevel"/>
    <w:tmpl w:val="41CCA0B6"/>
    <w:lvl w:ilvl="0" w:tplc="1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4"/>
  </w:num>
  <w:num w:numId="5">
    <w:abstractNumId w:val="23"/>
  </w:num>
  <w:num w:numId="6">
    <w:abstractNumId w:val="13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18"/>
  </w:num>
  <w:num w:numId="20">
    <w:abstractNumId w:val="0"/>
  </w:num>
  <w:num w:numId="21">
    <w:abstractNumId w:val="21"/>
  </w:num>
  <w:num w:numId="22">
    <w:abstractNumId w:val="8"/>
  </w:num>
  <w:num w:numId="23">
    <w:abstractNumId w:val="6"/>
  </w:num>
  <w:num w:numId="24">
    <w:abstractNumId w:val="17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14784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90166"/>
    <w:rsid w:val="000A02C9"/>
    <w:rsid w:val="000A0D33"/>
    <w:rsid w:val="000B221D"/>
    <w:rsid w:val="000D6020"/>
    <w:rsid w:val="000D7B81"/>
    <w:rsid w:val="000F4759"/>
    <w:rsid w:val="000F62AA"/>
    <w:rsid w:val="00102241"/>
    <w:rsid w:val="0010402E"/>
    <w:rsid w:val="001041D1"/>
    <w:rsid w:val="0010795D"/>
    <w:rsid w:val="00125282"/>
    <w:rsid w:val="00127F6D"/>
    <w:rsid w:val="00135E62"/>
    <w:rsid w:val="00147BA4"/>
    <w:rsid w:val="0015436C"/>
    <w:rsid w:val="00154A43"/>
    <w:rsid w:val="00167DE9"/>
    <w:rsid w:val="0017030D"/>
    <w:rsid w:val="00170F48"/>
    <w:rsid w:val="001824D4"/>
    <w:rsid w:val="00187F3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53EA"/>
    <w:rsid w:val="001E6697"/>
    <w:rsid w:val="001E6F96"/>
    <w:rsid w:val="001F4B7D"/>
    <w:rsid w:val="001F7DEE"/>
    <w:rsid w:val="00204296"/>
    <w:rsid w:val="002061AB"/>
    <w:rsid w:val="0020681E"/>
    <w:rsid w:val="0020779F"/>
    <w:rsid w:val="00217678"/>
    <w:rsid w:val="00225501"/>
    <w:rsid w:val="002264C4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1B7C"/>
    <w:rsid w:val="00313A4B"/>
    <w:rsid w:val="00315B13"/>
    <w:rsid w:val="0032493B"/>
    <w:rsid w:val="003269C0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3C07"/>
    <w:rsid w:val="003D5AE8"/>
    <w:rsid w:val="003D7858"/>
    <w:rsid w:val="003D78B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36247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54E3"/>
    <w:rsid w:val="00527945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3B26"/>
    <w:rsid w:val="005F4881"/>
    <w:rsid w:val="005F63EC"/>
    <w:rsid w:val="005F7D3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1CCE"/>
    <w:rsid w:val="00646994"/>
    <w:rsid w:val="00653C00"/>
    <w:rsid w:val="006552F7"/>
    <w:rsid w:val="0065728F"/>
    <w:rsid w:val="006623AF"/>
    <w:rsid w:val="006639B1"/>
    <w:rsid w:val="006673B3"/>
    <w:rsid w:val="00667ADE"/>
    <w:rsid w:val="0068734A"/>
    <w:rsid w:val="0069011C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A29"/>
    <w:rsid w:val="00740B88"/>
    <w:rsid w:val="00743818"/>
    <w:rsid w:val="00743B02"/>
    <w:rsid w:val="00750A7A"/>
    <w:rsid w:val="0075414E"/>
    <w:rsid w:val="00755ED4"/>
    <w:rsid w:val="00763A07"/>
    <w:rsid w:val="00765213"/>
    <w:rsid w:val="00766ABE"/>
    <w:rsid w:val="00766ADD"/>
    <w:rsid w:val="00770DA0"/>
    <w:rsid w:val="00776F56"/>
    <w:rsid w:val="007775FD"/>
    <w:rsid w:val="007810CD"/>
    <w:rsid w:val="00783AE6"/>
    <w:rsid w:val="007B1D95"/>
    <w:rsid w:val="007B3CAB"/>
    <w:rsid w:val="007B4860"/>
    <w:rsid w:val="007C27B6"/>
    <w:rsid w:val="007C7109"/>
    <w:rsid w:val="007D7318"/>
    <w:rsid w:val="007E2295"/>
    <w:rsid w:val="007E26C5"/>
    <w:rsid w:val="007E2FF7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66E9E"/>
    <w:rsid w:val="0087257A"/>
    <w:rsid w:val="00874346"/>
    <w:rsid w:val="00875C6C"/>
    <w:rsid w:val="0088522F"/>
    <w:rsid w:val="00885BE0"/>
    <w:rsid w:val="008950F7"/>
    <w:rsid w:val="008A4422"/>
    <w:rsid w:val="008A5191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8F4648"/>
    <w:rsid w:val="0090251A"/>
    <w:rsid w:val="009033B5"/>
    <w:rsid w:val="00906DE8"/>
    <w:rsid w:val="00907B99"/>
    <w:rsid w:val="009135C0"/>
    <w:rsid w:val="00914499"/>
    <w:rsid w:val="00925943"/>
    <w:rsid w:val="00926910"/>
    <w:rsid w:val="00933AC1"/>
    <w:rsid w:val="00933C19"/>
    <w:rsid w:val="0093534E"/>
    <w:rsid w:val="00944E86"/>
    <w:rsid w:val="00945E56"/>
    <w:rsid w:val="009469C6"/>
    <w:rsid w:val="0095081D"/>
    <w:rsid w:val="00954F8E"/>
    <w:rsid w:val="00955E8C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04874"/>
    <w:rsid w:val="00A173E2"/>
    <w:rsid w:val="00A22634"/>
    <w:rsid w:val="00A37101"/>
    <w:rsid w:val="00A37621"/>
    <w:rsid w:val="00A4607B"/>
    <w:rsid w:val="00A51526"/>
    <w:rsid w:val="00A677D4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25617"/>
    <w:rsid w:val="00B32FD8"/>
    <w:rsid w:val="00B4178D"/>
    <w:rsid w:val="00B42D63"/>
    <w:rsid w:val="00B43DD3"/>
    <w:rsid w:val="00B54FFA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026D7"/>
    <w:rsid w:val="00C31C40"/>
    <w:rsid w:val="00C357BA"/>
    <w:rsid w:val="00C3677B"/>
    <w:rsid w:val="00C37956"/>
    <w:rsid w:val="00C42323"/>
    <w:rsid w:val="00C441E6"/>
    <w:rsid w:val="00C45603"/>
    <w:rsid w:val="00C45807"/>
    <w:rsid w:val="00C4711C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2A7F"/>
    <w:rsid w:val="00CE323E"/>
    <w:rsid w:val="00CF0B4E"/>
    <w:rsid w:val="00CF4A67"/>
    <w:rsid w:val="00CF4AF0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5901"/>
    <w:rsid w:val="00DB7628"/>
    <w:rsid w:val="00DC256F"/>
    <w:rsid w:val="00DC3665"/>
    <w:rsid w:val="00DD6D16"/>
    <w:rsid w:val="00DE6F6F"/>
    <w:rsid w:val="00DF55B9"/>
    <w:rsid w:val="00E02103"/>
    <w:rsid w:val="00E103E5"/>
    <w:rsid w:val="00E2540B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560F6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941DC7-52AE-4C3D-9F03-254C4A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90E5-DD99-4C45-850B-8CA5BFC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Toefy Feizal</cp:lastModifiedBy>
  <cp:revision>2</cp:revision>
  <cp:lastPrinted>2017-06-30T07:34:00Z</cp:lastPrinted>
  <dcterms:created xsi:type="dcterms:W3CDTF">2017-07-17T07:45:00Z</dcterms:created>
  <dcterms:modified xsi:type="dcterms:W3CDTF">2017-07-17T07:45:00Z</dcterms:modified>
</cp:coreProperties>
</file>