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02020"/>
          <w:sz w:val="20"/>
          <w:szCs w:val="20"/>
        </w:rPr>
      </w:pPr>
      <w:r w:rsidRPr="005627EF">
        <w:rPr>
          <w:rFonts w:ascii="Arial" w:hAnsi="Arial" w:cs="Arial"/>
          <w:b/>
          <w:color w:val="202020"/>
          <w:sz w:val="20"/>
          <w:szCs w:val="20"/>
        </w:rPr>
        <w:t>NATIONAL ASSEMBLY</w:t>
      </w:r>
    </w:p>
    <w:p w:rsidR="005627EF" w:rsidRDefault="005627EF" w:rsidP="0056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02020"/>
          <w:sz w:val="20"/>
          <w:szCs w:val="20"/>
        </w:rPr>
      </w:pP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02020"/>
          <w:sz w:val="20"/>
          <w:szCs w:val="20"/>
        </w:rPr>
      </w:pPr>
      <w:r w:rsidRPr="005627EF">
        <w:rPr>
          <w:rFonts w:ascii="Arial" w:hAnsi="Arial" w:cs="Arial"/>
          <w:b/>
          <w:color w:val="202020"/>
          <w:sz w:val="20"/>
          <w:szCs w:val="20"/>
        </w:rPr>
        <w:t>QUESTION FOR WRITTEN REPLY</w:t>
      </w:r>
    </w:p>
    <w:p w:rsidR="005627EF" w:rsidRDefault="005627EF" w:rsidP="0056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02020"/>
          <w:sz w:val="20"/>
          <w:szCs w:val="20"/>
        </w:rPr>
      </w:pP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02020"/>
          <w:sz w:val="20"/>
          <w:szCs w:val="20"/>
        </w:rPr>
      </w:pPr>
      <w:r w:rsidRPr="005627EF">
        <w:rPr>
          <w:rFonts w:ascii="Arial" w:hAnsi="Arial" w:cs="Arial"/>
          <w:b/>
          <w:color w:val="202020"/>
          <w:sz w:val="20"/>
          <w:szCs w:val="20"/>
        </w:rPr>
        <w:t>QUESTION NUMBER: PQ 1921 (NW2078E)</w:t>
      </w:r>
    </w:p>
    <w:p w:rsidR="005627EF" w:rsidRDefault="005627EF" w:rsidP="0056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02020"/>
          <w:sz w:val="20"/>
          <w:szCs w:val="20"/>
        </w:rPr>
      </w:pP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02020"/>
          <w:sz w:val="20"/>
          <w:szCs w:val="20"/>
        </w:rPr>
      </w:pPr>
      <w:r w:rsidRPr="005627EF">
        <w:rPr>
          <w:rFonts w:ascii="Arial" w:hAnsi="Arial" w:cs="Arial"/>
          <w:b/>
          <w:color w:val="202020"/>
          <w:sz w:val="20"/>
          <w:szCs w:val="20"/>
        </w:rPr>
        <w:t>DATE OF PUBLICATION: 8 JUNE 2018</w:t>
      </w: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02020"/>
          <w:sz w:val="20"/>
          <w:szCs w:val="20"/>
        </w:rPr>
      </w:pP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020"/>
          <w:sz w:val="20"/>
          <w:szCs w:val="20"/>
        </w:rPr>
      </w:pPr>
      <w:r w:rsidRPr="005627EF">
        <w:rPr>
          <w:rFonts w:ascii="Arial" w:hAnsi="Arial" w:cs="Arial"/>
          <w:b/>
          <w:color w:val="202020"/>
          <w:sz w:val="20"/>
          <w:szCs w:val="20"/>
        </w:rPr>
        <w:t xml:space="preserve">Ms N K F </w:t>
      </w:r>
      <w:proofErr w:type="spellStart"/>
      <w:r w:rsidRPr="005627EF">
        <w:rPr>
          <w:rFonts w:ascii="Arial" w:hAnsi="Arial" w:cs="Arial"/>
          <w:b/>
          <w:color w:val="202020"/>
          <w:sz w:val="20"/>
          <w:szCs w:val="20"/>
        </w:rPr>
        <w:t>Hlonyana</w:t>
      </w:r>
      <w:proofErr w:type="spellEnd"/>
      <w:r w:rsidRPr="005627EF">
        <w:rPr>
          <w:rFonts w:ascii="Arial" w:hAnsi="Arial" w:cs="Arial"/>
          <w:b/>
          <w:color w:val="202020"/>
          <w:sz w:val="20"/>
          <w:szCs w:val="20"/>
        </w:rPr>
        <w:t xml:space="preserve"> (EFF) to ask the Minister for Human Settlements: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</w:rPr>
        <w:br/>
      </w:r>
      <w:r w:rsidRPr="005627EF">
        <w:rPr>
          <w:rFonts w:ascii="Arial" w:hAnsi="Arial" w:cs="Arial"/>
          <w:i/>
          <w:iCs/>
          <w:color w:val="202020"/>
          <w:sz w:val="20"/>
          <w:szCs w:val="20"/>
        </w:rPr>
        <w:t xml:space="preserve">1. What (a) </w:t>
      </w:r>
      <w:r w:rsidRPr="005627EF">
        <w:rPr>
          <w:rFonts w:ascii="Arial" w:hAnsi="Arial" w:cs="Arial"/>
          <w:color w:val="202020"/>
          <w:sz w:val="20"/>
          <w:szCs w:val="20"/>
        </w:rPr>
        <w:t xml:space="preserve">is </w:t>
      </w:r>
      <w:r w:rsidRPr="005627EF">
        <w:rPr>
          <w:rFonts w:ascii="Arial" w:hAnsi="Arial" w:cs="Arial"/>
          <w:i/>
          <w:iCs/>
          <w:color w:val="202020"/>
          <w:sz w:val="20"/>
          <w:szCs w:val="20"/>
        </w:rPr>
        <w:t>the total number incidents of sexual harassment that were reported to</w:t>
      </w:r>
      <w:r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i/>
          <w:iCs/>
          <w:color w:val="202020"/>
          <w:sz w:val="20"/>
          <w:szCs w:val="20"/>
        </w:rPr>
        <w:t>the human resources offices of (</w:t>
      </w:r>
      <w:proofErr w:type="spellStart"/>
      <w:r w:rsidRPr="005627EF">
        <w:rPr>
          <w:rFonts w:ascii="Arial" w:hAnsi="Arial" w:cs="Arial"/>
          <w:i/>
          <w:iCs/>
          <w:color w:val="202020"/>
          <w:sz w:val="20"/>
          <w:szCs w:val="20"/>
        </w:rPr>
        <w:t>i</w:t>
      </w:r>
      <w:proofErr w:type="spellEnd"/>
      <w:r w:rsidRPr="005627EF">
        <w:rPr>
          <w:rFonts w:ascii="Arial" w:hAnsi="Arial" w:cs="Arial"/>
          <w:i/>
          <w:iCs/>
          <w:color w:val="202020"/>
          <w:sz w:val="20"/>
          <w:szCs w:val="20"/>
        </w:rPr>
        <w:t>) her department and (ii) entities reporting to her in</w:t>
      </w:r>
      <w:r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i/>
          <w:iCs/>
          <w:color w:val="202020"/>
          <w:sz w:val="20"/>
          <w:szCs w:val="20"/>
        </w:rPr>
        <w:t>(aa) 2016 and (bb) 2017 and (b) are the details of each incident that took place;</w:t>
      </w:r>
      <w:r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02020"/>
          <w:sz w:val="20"/>
          <w:szCs w:val="20"/>
        </w:rPr>
        <w:br/>
      </w:r>
      <w:r>
        <w:rPr>
          <w:rFonts w:ascii="Arial" w:hAnsi="Arial" w:cs="Arial"/>
          <w:i/>
          <w:iCs/>
          <w:color w:val="202020"/>
          <w:sz w:val="20"/>
          <w:szCs w:val="20"/>
        </w:rPr>
        <w:br/>
      </w:r>
      <w:r w:rsidRPr="005627EF">
        <w:rPr>
          <w:rFonts w:ascii="Arial" w:hAnsi="Arial" w:cs="Arial"/>
          <w:i/>
          <w:iCs/>
          <w:color w:val="202020"/>
          <w:sz w:val="20"/>
          <w:szCs w:val="20"/>
        </w:rPr>
        <w:t xml:space="preserve">2. </w:t>
      </w:r>
      <w:r w:rsidRPr="005627EF">
        <w:rPr>
          <w:rFonts w:ascii="Arial" w:hAnsi="Arial" w:cs="Arial"/>
          <w:color w:val="202020"/>
          <w:sz w:val="20"/>
          <w:szCs w:val="20"/>
        </w:rPr>
        <w:t xml:space="preserve">Was </w:t>
      </w:r>
      <w:r w:rsidRPr="005627EF">
        <w:rPr>
          <w:rFonts w:ascii="Arial" w:hAnsi="Arial" w:cs="Arial"/>
          <w:i/>
          <w:iCs/>
          <w:color w:val="202020"/>
          <w:sz w:val="20"/>
          <w:szCs w:val="20"/>
        </w:rPr>
        <w:t xml:space="preserve">each incident investigated; if not, why not in each case; if </w:t>
      </w:r>
      <w:r w:rsidRPr="005627EF">
        <w:rPr>
          <w:rFonts w:ascii="Arial" w:hAnsi="Arial" w:cs="Arial"/>
          <w:color w:val="202020"/>
          <w:sz w:val="20"/>
          <w:szCs w:val="20"/>
        </w:rPr>
        <w:t xml:space="preserve">so, </w:t>
      </w:r>
      <w:r w:rsidRPr="005627EF">
        <w:rPr>
          <w:rFonts w:ascii="Arial" w:hAnsi="Arial" w:cs="Arial"/>
          <w:i/>
          <w:iCs/>
          <w:color w:val="202020"/>
          <w:sz w:val="20"/>
          <w:szCs w:val="20"/>
        </w:rPr>
        <w:t>what were the</w:t>
      </w:r>
      <w:r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i/>
          <w:iCs/>
          <w:color w:val="202020"/>
          <w:sz w:val="20"/>
          <w:szCs w:val="20"/>
        </w:rPr>
        <w:t xml:space="preserve">outcomes of the investigation in each </w:t>
      </w:r>
      <w:r w:rsidRPr="005627EF">
        <w:rPr>
          <w:rFonts w:ascii="Arial" w:hAnsi="Arial" w:cs="Arial"/>
          <w:color w:val="202020"/>
          <w:sz w:val="20"/>
          <w:szCs w:val="20"/>
        </w:rPr>
        <w:t>case?</w:t>
      </w: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br/>
      </w:r>
      <w:r w:rsidRPr="005627EF">
        <w:rPr>
          <w:rFonts w:ascii="Arial" w:hAnsi="Arial" w:cs="Arial"/>
          <w:b/>
          <w:color w:val="202020"/>
          <w:sz w:val="20"/>
          <w:szCs w:val="20"/>
        </w:rPr>
        <w:t>3. REPLY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</w:rPr>
        <w:br/>
      </w:r>
      <w:r w:rsidRPr="005627EF">
        <w:rPr>
          <w:rFonts w:ascii="Arial" w:hAnsi="Arial" w:cs="Arial"/>
          <w:b/>
          <w:color w:val="202020"/>
          <w:sz w:val="20"/>
          <w:szCs w:val="20"/>
        </w:rPr>
        <w:t xml:space="preserve">3.1 </w:t>
      </w:r>
      <w:r w:rsidRPr="005627EF">
        <w:rPr>
          <w:rFonts w:ascii="Arial" w:hAnsi="Arial" w:cs="Arial"/>
          <w:b/>
          <w:i/>
          <w:iCs/>
          <w:color w:val="202020"/>
          <w:sz w:val="20"/>
          <w:szCs w:val="20"/>
        </w:rPr>
        <w:t>What (a) is the total number incidents of sexual harassment that were reported to the human resources offices of (</w:t>
      </w:r>
      <w:proofErr w:type="spellStart"/>
      <w:r w:rsidRPr="005627EF">
        <w:rPr>
          <w:rFonts w:ascii="Arial" w:hAnsi="Arial" w:cs="Arial"/>
          <w:b/>
          <w:i/>
          <w:iCs/>
          <w:color w:val="202020"/>
          <w:sz w:val="20"/>
          <w:szCs w:val="20"/>
        </w:rPr>
        <w:t>i</w:t>
      </w:r>
      <w:proofErr w:type="spellEnd"/>
      <w:r w:rsidRPr="005627EF">
        <w:rPr>
          <w:rFonts w:ascii="Arial" w:hAnsi="Arial" w:cs="Arial"/>
          <w:b/>
          <w:i/>
          <w:iCs/>
          <w:color w:val="202020"/>
          <w:sz w:val="20"/>
          <w:szCs w:val="20"/>
        </w:rPr>
        <w:t>) her department and (ii) entities reporting to her in (aa) 2016 and (bb) 2017</w:t>
      </w:r>
      <w:r>
        <w:rPr>
          <w:rFonts w:ascii="Arial" w:hAnsi="Arial" w:cs="Arial"/>
          <w:i/>
          <w:iCs/>
          <w:color w:val="202020"/>
          <w:sz w:val="20"/>
          <w:szCs w:val="20"/>
        </w:rPr>
        <w:br/>
      </w:r>
      <w:r>
        <w:rPr>
          <w:rFonts w:ascii="Arial" w:hAnsi="Arial" w:cs="Arial"/>
          <w:i/>
          <w:iCs/>
          <w:color w:val="202020"/>
          <w:sz w:val="20"/>
          <w:szCs w:val="20"/>
        </w:rPr>
        <w:br/>
      </w:r>
      <w:r w:rsidRPr="005627EF">
        <w:rPr>
          <w:rFonts w:ascii="Arial" w:hAnsi="Arial" w:cs="Arial"/>
          <w:color w:val="202020"/>
          <w:sz w:val="20"/>
          <w:szCs w:val="20"/>
        </w:rPr>
        <w:t>3.1.1 Two incidents of sexual harassment were reported in the Department in the period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under question.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</w:rPr>
        <w:br/>
      </w:r>
      <w:r w:rsidRPr="005627EF">
        <w:rPr>
          <w:rFonts w:ascii="Arial" w:hAnsi="Arial" w:cs="Arial"/>
          <w:b/>
          <w:color w:val="202020"/>
          <w:sz w:val="20"/>
          <w:szCs w:val="20"/>
        </w:rPr>
        <w:t xml:space="preserve">3.2 </w:t>
      </w:r>
      <w:proofErr w:type="gramStart"/>
      <w:r w:rsidRPr="005627EF">
        <w:rPr>
          <w:rFonts w:ascii="Arial" w:hAnsi="Arial" w:cs="Arial"/>
          <w:b/>
          <w:i/>
          <w:iCs/>
          <w:color w:val="202020"/>
          <w:sz w:val="20"/>
          <w:szCs w:val="20"/>
        </w:rPr>
        <w:t>and</w:t>
      </w:r>
      <w:proofErr w:type="gramEnd"/>
      <w:r w:rsidRPr="005627EF">
        <w:rPr>
          <w:rFonts w:ascii="Arial" w:hAnsi="Arial" w:cs="Arial"/>
          <w:b/>
          <w:i/>
          <w:iCs/>
          <w:color w:val="202020"/>
          <w:sz w:val="20"/>
          <w:szCs w:val="20"/>
        </w:rPr>
        <w:t xml:space="preserve"> (b) are the details of each incident that took place.</w:t>
      </w:r>
      <w:r>
        <w:rPr>
          <w:rFonts w:ascii="Arial" w:hAnsi="Arial" w:cs="Arial"/>
          <w:i/>
          <w:iCs/>
          <w:color w:val="202020"/>
          <w:sz w:val="20"/>
          <w:szCs w:val="20"/>
        </w:rPr>
        <w:br/>
      </w:r>
      <w:r>
        <w:rPr>
          <w:rFonts w:ascii="Arial" w:hAnsi="Arial" w:cs="Arial"/>
          <w:i/>
          <w:iCs/>
          <w:color w:val="202020"/>
          <w:sz w:val="20"/>
          <w:szCs w:val="20"/>
        </w:rPr>
        <w:br/>
      </w:r>
      <w:r w:rsidRPr="005627EF">
        <w:rPr>
          <w:rFonts w:ascii="Arial" w:hAnsi="Arial" w:cs="Arial"/>
          <w:color w:val="202020"/>
          <w:sz w:val="20"/>
          <w:szCs w:val="20"/>
        </w:rPr>
        <w:t>3.2.1 In the 1st incident, the complainant brought an informal complaint to the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department's Employee Health and Wellness unit. The complainant reported on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comments with sexual overtones received from the respondent/perpetrator that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resulted in the complainant being uncomfortable. Thus this incident involved sexual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harassment of a verbal nature.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</w:rPr>
        <w:br/>
      </w:r>
      <w:r w:rsidRPr="005627EF">
        <w:rPr>
          <w:rFonts w:ascii="Arial" w:hAnsi="Arial" w:cs="Arial"/>
          <w:color w:val="202020"/>
          <w:sz w:val="20"/>
          <w:szCs w:val="20"/>
        </w:rPr>
        <w:t>3.3.2 In the 2nd incident, the complainant brought an informal complaint to the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Department's Employee Health and Wellness unit. The complainant reported an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incident whereby the respondent/perpetrator inappropriately physically pressed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against the complainant, when the two of them were in an elevator. The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complainant was upset by this incident. This incident involved sexual harassment</w:t>
      </w:r>
      <w:r>
        <w:rPr>
          <w:rFonts w:ascii="Arial" w:hAnsi="Arial" w:cs="Arial"/>
          <w:color w:val="202020"/>
          <w:sz w:val="20"/>
          <w:szCs w:val="20"/>
        </w:rPr>
        <w:t xml:space="preserve"> </w:t>
      </w:r>
      <w:r w:rsidRPr="005627EF">
        <w:rPr>
          <w:rFonts w:ascii="Arial" w:hAnsi="Arial" w:cs="Arial"/>
          <w:color w:val="202020"/>
          <w:sz w:val="20"/>
          <w:szCs w:val="20"/>
        </w:rPr>
        <w:t>of a physical contact nature.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</w:rPr>
        <w:br/>
      </w:r>
      <w:r w:rsidRPr="005627EF">
        <w:rPr>
          <w:rFonts w:ascii="Arial" w:hAnsi="Arial" w:cs="Arial"/>
          <w:b/>
          <w:bCs/>
          <w:color w:val="212121"/>
          <w:sz w:val="20"/>
          <w:szCs w:val="20"/>
        </w:rPr>
        <w:t xml:space="preserve">3.3 </w:t>
      </w:r>
      <w:r w:rsidRPr="005627EF">
        <w:rPr>
          <w:rFonts w:ascii="Arial" w:hAnsi="Arial" w:cs="Arial"/>
          <w:b/>
          <w:bCs/>
          <w:i/>
          <w:iCs/>
          <w:color w:val="212121"/>
          <w:sz w:val="20"/>
          <w:szCs w:val="20"/>
        </w:rPr>
        <w:t xml:space="preserve">Was each incident investigated; if no, why not in each case; if </w:t>
      </w:r>
      <w:r w:rsidRPr="005627EF">
        <w:rPr>
          <w:rFonts w:ascii="Arial" w:hAnsi="Arial" w:cs="Arial"/>
          <w:b/>
          <w:bCs/>
          <w:color w:val="212121"/>
          <w:sz w:val="20"/>
          <w:szCs w:val="20"/>
        </w:rPr>
        <w:t xml:space="preserve">so, </w:t>
      </w:r>
      <w:r w:rsidRPr="005627EF">
        <w:rPr>
          <w:rFonts w:ascii="Arial" w:hAnsi="Arial" w:cs="Arial"/>
          <w:b/>
          <w:bCs/>
          <w:i/>
          <w:iCs/>
          <w:color w:val="212121"/>
          <w:sz w:val="20"/>
          <w:szCs w:val="20"/>
        </w:rPr>
        <w:t>what were</w:t>
      </w:r>
      <w:r>
        <w:rPr>
          <w:rFonts w:ascii="Arial" w:hAnsi="Arial" w:cs="Arial"/>
          <w:b/>
          <w:bCs/>
          <w:i/>
          <w:iCs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b/>
          <w:bCs/>
          <w:i/>
          <w:iCs/>
          <w:color w:val="212121"/>
          <w:sz w:val="20"/>
          <w:szCs w:val="20"/>
        </w:rPr>
        <w:t>the outcomes of the investigation in each case?</w:t>
      </w:r>
      <w:r>
        <w:rPr>
          <w:rFonts w:ascii="Arial" w:hAnsi="Arial" w:cs="Arial"/>
          <w:b/>
          <w:bCs/>
          <w:i/>
          <w:iCs/>
          <w:color w:val="212121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212121"/>
          <w:sz w:val="20"/>
          <w:szCs w:val="20"/>
        </w:rPr>
        <w:br/>
      </w:r>
      <w:r w:rsidRPr="005627EF">
        <w:rPr>
          <w:rFonts w:ascii="Arial" w:hAnsi="Arial" w:cs="Arial"/>
          <w:b/>
          <w:bCs/>
          <w:color w:val="212121"/>
          <w:sz w:val="20"/>
          <w:szCs w:val="20"/>
        </w:rPr>
        <w:t xml:space="preserve">3.3.1 </w:t>
      </w:r>
      <w:r w:rsidRPr="005627EF">
        <w:rPr>
          <w:rFonts w:ascii="Arial" w:hAnsi="Arial" w:cs="Arial"/>
          <w:color w:val="212121"/>
          <w:sz w:val="20"/>
          <w:szCs w:val="20"/>
        </w:rPr>
        <w:t>Yes, the incidents were investigated.</w:t>
      </w: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5627EF">
        <w:rPr>
          <w:rFonts w:ascii="Arial" w:hAnsi="Arial" w:cs="Arial"/>
          <w:b/>
          <w:bCs/>
          <w:color w:val="212121"/>
          <w:sz w:val="20"/>
          <w:szCs w:val="20"/>
        </w:rPr>
        <w:t xml:space="preserve">3.3.2 </w:t>
      </w:r>
      <w:r w:rsidRPr="005627EF">
        <w:rPr>
          <w:rFonts w:ascii="Arial" w:hAnsi="Arial" w:cs="Arial"/>
          <w:color w:val="212121"/>
          <w:sz w:val="20"/>
          <w:szCs w:val="20"/>
        </w:rPr>
        <w:t>The 1st incident was resolved with the perpetrator being reprimanded by his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supervisor and apologizing to the complainant.</w:t>
      </w: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5627EF">
        <w:rPr>
          <w:rFonts w:ascii="Arial" w:hAnsi="Arial" w:cs="Arial"/>
          <w:b/>
          <w:bCs/>
          <w:color w:val="212121"/>
          <w:sz w:val="20"/>
          <w:szCs w:val="20"/>
        </w:rPr>
        <w:t xml:space="preserve">3.3.3 </w:t>
      </w:r>
      <w:r w:rsidRPr="005627EF">
        <w:rPr>
          <w:rFonts w:ascii="Arial" w:hAnsi="Arial" w:cs="Arial"/>
          <w:color w:val="212121"/>
          <w:sz w:val="20"/>
          <w:szCs w:val="20"/>
        </w:rPr>
        <w:t>The 2nd incident was resolved with the perpetrator issued a warning by the relevant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supervisor; an apology by the perpetrator to the complainant; and the complainant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transferred to another unit, as requested.</w:t>
      </w: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rFonts w:ascii="Arial" w:hAnsi="Arial" w:cs="Arial"/>
          <w:color w:val="212121"/>
          <w:sz w:val="20"/>
          <w:szCs w:val="20"/>
        </w:rPr>
        <w:br/>
      </w:r>
      <w:r w:rsidRPr="005627EF">
        <w:rPr>
          <w:rFonts w:ascii="Arial" w:hAnsi="Arial" w:cs="Arial"/>
          <w:color w:val="212121"/>
          <w:sz w:val="20"/>
          <w:szCs w:val="20"/>
        </w:rPr>
        <w:t>• Sexual harassment cases are dealt with in accordance with the provisions of the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departmental Management of The Sexual Harassment policy.</w:t>
      </w: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5627EF">
        <w:rPr>
          <w:rFonts w:ascii="Arial" w:hAnsi="Arial" w:cs="Arial"/>
          <w:color w:val="212121"/>
          <w:sz w:val="20"/>
          <w:szCs w:val="20"/>
        </w:rPr>
        <w:t>• The Policy was developed in order to facilitate, expedite, offer guidance and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complement all other Labour relations prescripts that are meant to resolve matters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related to sexual Harassment in the department.</w:t>
      </w:r>
    </w:p>
    <w:p w:rsidR="005627EF" w:rsidRPr="005627EF" w:rsidRDefault="005627EF" w:rsidP="00562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5627EF">
        <w:rPr>
          <w:rFonts w:ascii="Arial" w:hAnsi="Arial" w:cs="Arial"/>
          <w:color w:val="212121"/>
          <w:sz w:val="20"/>
          <w:szCs w:val="20"/>
        </w:rPr>
        <w:t>• In addition to this, there are various interventions that the department apply for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instance, awareness sessions that are frequently held in order to educate and make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employees aware of lawful and prohibited behaviours at the work place especially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sexual harassment.</w:t>
      </w:r>
    </w:p>
    <w:p w:rsidR="00844E3E" w:rsidRPr="005627EF" w:rsidRDefault="005627EF" w:rsidP="005627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27EF">
        <w:rPr>
          <w:rFonts w:ascii="Arial" w:hAnsi="Arial" w:cs="Arial"/>
          <w:color w:val="212121"/>
          <w:sz w:val="20"/>
          <w:szCs w:val="20"/>
        </w:rPr>
        <w:t>• In essence, the department takes every opportunity and utilizes every available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platform to provide information and education. For example, quarterly Human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 xml:space="preserve">Resources Outreach Sessions; Staff </w:t>
      </w:r>
      <w:r w:rsidRPr="005627EF">
        <w:rPr>
          <w:rFonts w:ascii="Arial" w:hAnsi="Arial" w:cs="Arial"/>
          <w:color w:val="212121"/>
          <w:sz w:val="20"/>
          <w:szCs w:val="20"/>
        </w:rPr>
        <w:lastRenderedPageBreak/>
        <w:t>meetings as well as Women Month and 16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 xml:space="preserve">Days of Activism </w:t>
      </w:r>
      <w:proofErr w:type="gramStart"/>
      <w:r w:rsidRPr="005627EF">
        <w:rPr>
          <w:rFonts w:ascii="Arial" w:hAnsi="Arial" w:cs="Arial"/>
          <w:color w:val="212121"/>
          <w:sz w:val="20"/>
          <w:szCs w:val="20"/>
        </w:rPr>
        <w:t>Against</w:t>
      </w:r>
      <w:proofErr w:type="gramEnd"/>
      <w:r w:rsidRPr="005627EF">
        <w:rPr>
          <w:rFonts w:ascii="Arial" w:hAnsi="Arial" w:cs="Arial"/>
          <w:color w:val="212121"/>
          <w:sz w:val="20"/>
          <w:szCs w:val="20"/>
        </w:rPr>
        <w:t xml:space="preserve"> Women and Children Abuse, are used to ensure that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627EF">
        <w:rPr>
          <w:rFonts w:ascii="Arial" w:hAnsi="Arial" w:cs="Arial"/>
          <w:color w:val="212121"/>
          <w:sz w:val="20"/>
          <w:szCs w:val="20"/>
        </w:rPr>
        <w:t>sexual harassment matters are given sufficient attention by all.</w:t>
      </w:r>
    </w:p>
    <w:sectPr w:rsidR="00844E3E" w:rsidRPr="005627EF" w:rsidSect="008D2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27EF"/>
    <w:rsid w:val="005627EF"/>
    <w:rsid w:val="00844E3E"/>
    <w:rsid w:val="008D2BF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Company>Proline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2018-08-08T12:37:00Z</dcterms:created>
  <dcterms:modified xsi:type="dcterms:W3CDTF">2018-08-08T12:41:00Z</dcterms:modified>
</cp:coreProperties>
</file>