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9F" w:rsidRPr="000E099F" w:rsidRDefault="000E099F" w:rsidP="000E099F">
      <w:pPr>
        <w:jc w:val="center"/>
        <w:rPr>
          <w:rFonts w:ascii="Arial" w:hAnsi="Arial" w:cs="Arial"/>
          <w:b/>
          <w:bCs/>
          <w:sz w:val="28"/>
          <w:szCs w:val="28"/>
        </w:rPr>
      </w:pPr>
      <w:r w:rsidRPr="00330353">
        <w:rPr>
          <w:rFonts w:ascii="Arial" w:hAnsi="Arial" w:cs="Arial"/>
          <w:b/>
          <w:bCs/>
          <w:sz w:val="28"/>
          <w:szCs w:val="28"/>
        </w:rPr>
        <w:t>NATIONAL ASSEMBLY</w:t>
      </w:r>
    </w:p>
    <w:p w:rsidR="000E099F" w:rsidRPr="00330353" w:rsidRDefault="000E099F" w:rsidP="000E099F">
      <w:pPr>
        <w:jc w:val="both"/>
        <w:rPr>
          <w:rFonts w:ascii="Arial" w:hAnsi="Arial" w:cs="Arial"/>
          <w:b/>
          <w:bCs/>
          <w:sz w:val="28"/>
          <w:szCs w:val="28"/>
          <w:u w:val="single"/>
        </w:rPr>
      </w:pPr>
      <w:r w:rsidRPr="00330353">
        <w:rPr>
          <w:rFonts w:ascii="Arial" w:hAnsi="Arial" w:cs="Arial"/>
          <w:b/>
          <w:bCs/>
          <w:sz w:val="28"/>
          <w:szCs w:val="28"/>
          <w:u w:val="single"/>
        </w:rPr>
        <w:t>QUESTION NO. 1919 - 2023</w:t>
      </w:r>
    </w:p>
    <w:p w:rsidR="000E099F" w:rsidRPr="00330353" w:rsidRDefault="000E099F" w:rsidP="000E099F">
      <w:pPr>
        <w:jc w:val="both"/>
        <w:rPr>
          <w:rFonts w:ascii="Arial" w:hAnsi="Arial" w:cs="Arial"/>
          <w:b/>
          <w:bCs/>
          <w:sz w:val="28"/>
          <w:szCs w:val="28"/>
          <w:u w:val="single"/>
        </w:rPr>
      </w:pPr>
      <w:r w:rsidRPr="00330353">
        <w:rPr>
          <w:rFonts w:ascii="Arial" w:hAnsi="Arial" w:cs="Arial"/>
          <w:b/>
          <w:bCs/>
          <w:sz w:val="28"/>
          <w:szCs w:val="28"/>
          <w:u w:val="single"/>
        </w:rPr>
        <w:t>FOR WRITTEN REPLY</w:t>
      </w:r>
    </w:p>
    <w:p w:rsidR="000E099F" w:rsidRPr="00330353" w:rsidRDefault="000E099F" w:rsidP="000E099F">
      <w:pPr>
        <w:jc w:val="both"/>
        <w:rPr>
          <w:rFonts w:ascii="Arial" w:hAnsi="Arial" w:cs="Arial"/>
          <w:b/>
          <w:bCs/>
          <w:sz w:val="28"/>
          <w:szCs w:val="28"/>
        </w:rPr>
      </w:pPr>
      <w:r w:rsidRPr="00330353">
        <w:rPr>
          <w:rFonts w:ascii="Arial" w:hAnsi="Arial" w:cs="Arial"/>
          <w:b/>
          <w:bCs/>
          <w:sz w:val="28"/>
          <w:szCs w:val="28"/>
        </w:rPr>
        <w:t>INTERNAL QUESTION PAPER NUMBER 18 OF 2023 DATED 19 MAY 2023</w:t>
      </w:r>
    </w:p>
    <w:p w:rsidR="000E099F" w:rsidRPr="00330353" w:rsidRDefault="000E099F" w:rsidP="000E099F">
      <w:pPr>
        <w:jc w:val="both"/>
        <w:rPr>
          <w:rFonts w:ascii="Arial" w:hAnsi="Arial" w:cs="Arial"/>
          <w:b/>
          <w:bCs/>
          <w:sz w:val="28"/>
          <w:szCs w:val="28"/>
        </w:rPr>
      </w:pPr>
      <w:r w:rsidRPr="00330353">
        <w:rPr>
          <w:rFonts w:ascii="Arial" w:hAnsi="Arial" w:cs="Arial"/>
          <w:b/>
          <w:sz w:val="28"/>
          <w:szCs w:val="28"/>
        </w:rPr>
        <w:t xml:space="preserve">“Mr. B S </w:t>
      </w:r>
      <w:proofErr w:type="spellStart"/>
      <w:r w:rsidRPr="00330353">
        <w:rPr>
          <w:rFonts w:ascii="Arial" w:hAnsi="Arial" w:cs="Arial"/>
          <w:b/>
          <w:sz w:val="28"/>
          <w:szCs w:val="28"/>
        </w:rPr>
        <w:t>Madlongozi</w:t>
      </w:r>
      <w:proofErr w:type="spellEnd"/>
      <w:r w:rsidRPr="00330353">
        <w:rPr>
          <w:rFonts w:ascii="Arial" w:hAnsi="Arial" w:cs="Arial"/>
          <w:b/>
          <w:sz w:val="28"/>
          <w:szCs w:val="28"/>
        </w:rPr>
        <w:t xml:space="preserve"> to ask the Minister of Sport, Arts and Culture:</w:t>
      </w:r>
    </w:p>
    <w:p w:rsidR="000E099F" w:rsidRDefault="00ED1C2B" w:rsidP="000E099F">
      <w:pPr>
        <w:jc w:val="both"/>
        <w:rPr>
          <w:rFonts w:ascii="Arial" w:hAnsi="Arial" w:cs="Arial"/>
          <w:bCs/>
          <w:color w:val="000000" w:themeColor="text1"/>
          <w:sz w:val="28"/>
          <w:szCs w:val="28"/>
          <w:lang w:val="en-GB"/>
        </w:rPr>
      </w:pPr>
      <w:r w:rsidRPr="00330353">
        <w:rPr>
          <w:rFonts w:ascii="Arial" w:hAnsi="Arial" w:cs="Arial"/>
          <w:bCs/>
          <w:sz w:val="28"/>
          <w:szCs w:val="28"/>
          <w:highlight w:val="green"/>
          <w:lang w:val="en-GB"/>
        </w:rPr>
        <w:fldChar w:fldCharType="begin"/>
      </w:r>
      <w:r w:rsidR="000E099F" w:rsidRPr="00330353">
        <w:rPr>
          <w:rFonts w:ascii="Arial" w:hAnsi="Arial" w:cs="Arial"/>
          <w:sz w:val="28"/>
          <w:szCs w:val="28"/>
          <w:highlight w:val="green"/>
        </w:rPr>
        <w:instrText xml:space="preserve"> XE "</w:instrText>
      </w:r>
      <w:r w:rsidR="000E099F" w:rsidRPr="00330353">
        <w:rPr>
          <w:rFonts w:ascii="Arial" w:hAnsi="Arial" w:cs="Arial"/>
          <w:bCs/>
          <w:sz w:val="28"/>
          <w:szCs w:val="28"/>
          <w:highlight w:val="green"/>
        </w:rPr>
        <w:instrText>Minister of Sport, Arts and Culture</w:instrText>
      </w:r>
      <w:r w:rsidR="000E099F" w:rsidRPr="00330353">
        <w:rPr>
          <w:rFonts w:ascii="Arial" w:hAnsi="Arial" w:cs="Arial"/>
          <w:sz w:val="28"/>
          <w:szCs w:val="28"/>
          <w:highlight w:val="green"/>
        </w:rPr>
        <w:instrText xml:space="preserve">" </w:instrText>
      </w:r>
      <w:r w:rsidRPr="00330353">
        <w:rPr>
          <w:rFonts w:ascii="Arial" w:hAnsi="Arial" w:cs="Arial"/>
          <w:bCs/>
          <w:sz w:val="28"/>
          <w:szCs w:val="28"/>
          <w:highlight w:val="green"/>
          <w:lang w:val="en-GB"/>
        </w:rPr>
        <w:fldChar w:fldCharType="end"/>
      </w:r>
      <w:r w:rsidR="000E099F" w:rsidRPr="00330353">
        <w:rPr>
          <w:rFonts w:ascii="Arial" w:hAnsi="Arial" w:cs="Arial"/>
          <w:color w:val="000000" w:themeColor="text1"/>
          <w:sz w:val="28"/>
          <w:szCs w:val="28"/>
          <w:lang w:val="en-GB"/>
        </w:rPr>
        <w:t xml:space="preserve">What measures has he put in place to ensure that the persons involved in the building of the (a) R15 million shoddy structure on an open piece of land in the Enoch </w:t>
      </w:r>
      <w:proofErr w:type="spellStart"/>
      <w:r w:rsidR="000E099F" w:rsidRPr="00330353">
        <w:rPr>
          <w:rFonts w:ascii="Arial" w:hAnsi="Arial" w:cs="Arial"/>
          <w:color w:val="000000" w:themeColor="text1"/>
          <w:sz w:val="28"/>
          <w:szCs w:val="28"/>
          <w:lang w:val="en-GB"/>
        </w:rPr>
        <w:t>Mgijima</w:t>
      </w:r>
      <w:proofErr w:type="spellEnd"/>
      <w:r w:rsidR="000E099F" w:rsidRPr="00330353">
        <w:rPr>
          <w:rFonts w:ascii="Arial" w:hAnsi="Arial" w:cs="Arial"/>
          <w:color w:val="000000" w:themeColor="text1"/>
          <w:sz w:val="28"/>
          <w:szCs w:val="28"/>
          <w:lang w:val="en-GB"/>
        </w:rPr>
        <w:t xml:space="preserve"> Local Municipality and (b) R61 million stadium constructed in </w:t>
      </w:r>
      <w:proofErr w:type="spellStart"/>
      <w:r w:rsidR="000E099F" w:rsidRPr="00330353">
        <w:rPr>
          <w:rFonts w:ascii="Arial" w:hAnsi="Arial" w:cs="Arial"/>
          <w:color w:val="000000" w:themeColor="text1"/>
          <w:sz w:val="28"/>
          <w:szCs w:val="28"/>
          <w:lang w:val="en-GB"/>
        </w:rPr>
        <w:t>Mbizana</w:t>
      </w:r>
      <w:proofErr w:type="spellEnd"/>
      <w:r w:rsidR="000E099F" w:rsidRPr="00330353">
        <w:rPr>
          <w:rFonts w:ascii="Arial" w:hAnsi="Arial" w:cs="Arial"/>
          <w:color w:val="000000" w:themeColor="text1"/>
          <w:sz w:val="28"/>
          <w:szCs w:val="28"/>
          <w:lang w:val="en-GB"/>
        </w:rPr>
        <w:t xml:space="preserve"> by a firm linked to former Eastern Cape member of the Executive Council for Public Works, Mr </w:t>
      </w:r>
      <w:proofErr w:type="spellStart"/>
      <w:r w:rsidR="000E099F" w:rsidRPr="00330353">
        <w:rPr>
          <w:rFonts w:ascii="Arial" w:hAnsi="Arial" w:cs="Arial"/>
          <w:color w:val="000000" w:themeColor="text1"/>
          <w:sz w:val="28"/>
          <w:szCs w:val="28"/>
          <w:lang w:val="en-GB"/>
        </w:rPr>
        <w:t>Babalo</w:t>
      </w:r>
      <w:proofErr w:type="spellEnd"/>
      <w:r w:rsidR="000E099F" w:rsidRPr="00330353">
        <w:rPr>
          <w:rFonts w:ascii="Arial" w:hAnsi="Arial" w:cs="Arial"/>
          <w:color w:val="000000" w:themeColor="text1"/>
          <w:sz w:val="28"/>
          <w:szCs w:val="28"/>
          <w:lang w:val="en-GB"/>
        </w:rPr>
        <w:t xml:space="preserve"> </w:t>
      </w:r>
      <w:proofErr w:type="spellStart"/>
      <w:r w:rsidR="000E099F" w:rsidRPr="00330353">
        <w:rPr>
          <w:rFonts w:ascii="Arial" w:hAnsi="Arial" w:cs="Arial"/>
          <w:color w:val="000000" w:themeColor="text1"/>
          <w:sz w:val="28"/>
          <w:szCs w:val="28"/>
          <w:lang w:val="en-GB"/>
        </w:rPr>
        <w:t>Madikizela</w:t>
      </w:r>
      <w:proofErr w:type="spellEnd"/>
      <w:r w:rsidR="000E099F" w:rsidRPr="00330353">
        <w:rPr>
          <w:rFonts w:ascii="Arial" w:hAnsi="Arial" w:cs="Arial"/>
          <w:color w:val="000000" w:themeColor="text1"/>
          <w:sz w:val="28"/>
          <w:szCs w:val="28"/>
          <w:lang w:val="en-GB"/>
        </w:rPr>
        <w:t>, are exposed and held accountable for the wasteful and fruitless expenditure?</w:t>
      </w:r>
    </w:p>
    <w:p w:rsidR="000E099F" w:rsidRDefault="000E099F" w:rsidP="000E099F">
      <w:pPr>
        <w:jc w:val="both"/>
        <w:rPr>
          <w:rFonts w:ascii="Arial" w:hAnsi="Arial" w:cs="Arial"/>
          <w:b/>
          <w:bCs/>
          <w:sz w:val="28"/>
          <w:szCs w:val="28"/>
        </w:rPr>
      </w:pPr>
      <w:r w:rsidRPr="00330353">
        <w:rPr>
          <w:rFonts w:ascii="Arial" w:hAnsi="Arial" w:cs="Arial"/>
          <w:b/>
          <w:bCs/>
          <w:sz w:val="28"/>
          <w:szCs w:val="28"/>
        </w:rPr>
        <w:t>NW2176E</w:t>
      </w:r>
    </w:p>
    <w:p w:rsidR="000E099F" w:rsidRPr="00330353" w:rsidRDefault="000E099F" w:rsidP="000E099F">
      <w:pPr>
        <w:jc w:val="both"/>
        <w:rPr>
          <w:rFonts w:ascii="Arial" w:hAnsi="Arial" w:cs="Arial"/>
          <w:b/>
          <w:bCs/>
          <w:sz w:val="28"/>
          <w:szCs w:val="28"/>
        </w:rPr>
      </w:pPr>
    </w:p>
    <w:p w:rsidR="000E099F" w:rsidRPr="00330353" w:rsidRDefault="000E099F" w:rsidP="000E099F">
      <w:pPr>
        <w:jc w:val="both"/>
        <w:rPr>
          <w:rFonts w:ascii="Arial" w:hAnsi="Arial" w:cs="Arial"/>
          <w:b/>
          <w:sz w:val="28"/>
          <w:szCs w:val="28"/>
        </w:rPr>
      </w:pPr>
      <w:r w:rsidRPr="00330353">
        <w:rPr>
          <w:rFonts w:ascii="Arial" w:hAnsi="Arial" w:cs="Arial"/>
          <w:b/>
          <w:sz w:val="28"/>
          <w:szCs w:val="28"/>
        </w:rPr>
        <w:t>Reply</w:t>
      </w:r>
    </w:p>
    <w:p w:rsidR="000E099F" w:rsidRPr="00330353" w:rsidRDefault="000E099F" w:rsidP="000E099F">
      <w:pPr>
        <w:jc w:val="both"/>
        <w:rPr>
          <w:rFonts w:ascii="Arial" w:eastAsia="Calibri" w:hAnsi="Arial" w:cs="Arial"/>
          <w:color w:val="000000"/>
          <w:sz w:val="28"/>
          <w:szCs w:val="28"/>
          <w:lang w:val="en-GB"/>
        </w:rPr>
      </w:pPr>
      <w:r w:rsidRPr="00330353">
        <w:rPr>
          <w:rFonts w:ascii="Arial" w:eastAsia="Calibri" w:hAnsi="Arial" w:cs="Arial"/>
          <w:color w:val="000000"/>
          <w:sz w:val="28"/>
          <w:szCs w:val="28"/>
          <w:lang w:val="en-GB"/>
        </w:rPr>
        <w:t>(a)</w:t>
      </w:r>
      <w:r>
        <w:rPr>
          <w:rFonts w:ascii="Arial" w:eastAsia="Calibri" w:hAnsi="Arial" w:cs="Arial"/>
          <w:color w:val="000000"/>
          <w:sz w:val="28"/>
          <w:szCs w:val="28"/>
          <w:lang w:val="en-GB"/>
        </w:rPr>
        <w:t>.</w:t>
      </w:r>
      <w:r w:rsidRPr="00330353">
        <w:rPr>
          <w:rFonts w:ascii="Arial" w:eastAsia="Calibri" w:hAnsi="Arial" w:cs="Arial"/>
          <w:color w:val="000000"/>
          <w:sz w:val="28"/>
          <w:szCs w:val="28"/>
          <w:lang w:val="en-GB"/>
        </w:rPr>
        <w:tab/>
        <w:t xml:space="preserve">It should be noted that outside the funding allocation made by the Department of Sport, Arts and Culture (DSAC) from a ring-fenced Municipal Infrastructure Grant (MIG) administered by Department of Cooperative Affairs and Traditional Affairs (COGTA), municipalities are required to use at least 5% of their baseline MIG on sport </w:t>
      </w:r>
      <w:r w:rsidRPr="00330353">
        <w:rPr>
          <w:rFonts w:ascii="Arial" w:eastAsia="Calibri" w:hAnsi="Arial" w:cs="Arial"/>
          <w:color w:val="000000"/>
          <w:sz w:val="28"/>
          <w:szCs w:val="28"/>
          <w:lang w:val="en-GB"/>
        </w:rPr>
        <w:tab/>
        <w:t xml:space="preserve">infrastructure. </w:t>
      </w:r>
    </w:p>
    <w:p w:rsidR="000E099F" w:rsidRPr="00330353" w:rsidRDefault="000E099F" w:rsidP="000E099F">
      <w:pPr>
        <w:jc w:val="both"/>
        <w:rPr>
          <w:rFonts w:ascii="Arial" w:eastAsia="Calibri" w:hAnsi="Arial" w:cs="Arial"/>
          <w:color w:val="000000"/>
          <w:sz w:val="28"/>
          <w:szCs w:val="28"/>
          <w:lang w:val="en-GB"/>
        </w:rPr>
      </w:pPr>
    </w:p>
    <w:p w:rsidR="000E099F" w:rsidRPr="00330353" w:rsidRDefault="000E099F" w:rsidP="000E099F">
      <w:pPr>
        <w:spacing w:after="200"/>
        <w:jc w:val="both"/>
        <w:rPr>
          <w:rFonts w:ascii="Arial" w:eastAsia="Calibri" w:hAnsi="Arial" w:cs="Arial"/>
          <w:color w:val="000000"/>
          <w:sz w:val="28"/>
          <w:szCs w:val="28"/>
          <w:lang w:val="en-GB"/>
        </w:rPr>
      </w:pPr>
      <w:r w:rsidRPr="00330353">
        <w:rPr>
          <w:rFonts w:ascii="Arial" w:eastAsia="Calibri" w:hAnsi="Arial" w:cs="Arial"/>
          <w:color w:val="000000"/>
          <w:sz w:val="28"/>
          <w:szCs w:val="28"/>
          <w:lang w:val="en-GB"/>
        </w:rPr>
        <w:t xml:space="preserve">This means that besides the ring-fenced MIG allocated by DSAC, the baseline MIG that municipalities receive from the COGTA can and should also be used towards development of sport facilities, and this is the budget used to construct this is sport facility in question. </w:t>
      </w:r>
    </w:p>
    <w:p w:rsidR="000E099F" w:rsidRPr="00330353" w:rsidRDefault="000E099F" w:rsidP="000E099F">
      <w:pPr>
        <w:spacing w:after="200"/>
        <w:jc w:val="both"/>
        <w:rPr>
          <w:rFonts w:ascii="Arial" w:eastAsia="Calibri" w:hAnsi="Arial" w:cs="Arial"/>
          <w:color w:val="000000"/>
          <w:sz w:val="28"/>
          <w:szCs w:val="28"/>
          <w:lang w:val="en-GB"/>
        </w:rPr>
      </w:pPr>
      <w:r w:rsidRPr="00330353">
        <w:rPr>
          <w:rFonts w:ascii="Arial" w:eastAsia="Calibri" w:hAnsi="Arial" w:cs="Arial"/>
          <w:color w:val="000000"/>
          <w:sz w:val="28"/>
          <w:szCs w:val="28"/>
          <w:lang w:val="en-GB"/>
        </w:rPr>
        <w:t xml:space="preserve">In essence funds used for this facility were not allocated by DSAC, and in fact National DSAC learnt about the project through the media and the resultant public outcry. </w:t>
      </w:r>
    </w:p>
    <w:p w:rsidR="000E099F" w:rsidRPr="00330353" w:rsidRDefault="000E099F" w:rsidP="000E099F">
      <w:pPr>
        <w:spacing w:after="200"/>
        <w:jc w:val="both"/>
        <w:rPr>
          <w:rFonts w:ascii="Arial" w:eastAsia="Calibri" w:hAnsi="Arial" w:cs="Arial"/>
          <w:color w:val="000000"/>
          <w:sz w:val="28"/>
          <w:szCs w:val="28"/>
          <w:lang w:val="en-GB"/>
        </w:rPr>
      </w:pPr>
      <w:r w:rsidRPr="00330353">
        <w:rPr>
          <w:rFonts w:ascii="Arial" w:eastAsia="Calibri" w:hAnsi="Arial" w:cs="Arial"/>
          <w:color w:val="000000"/>
          <w:sz w:val="28"/>
          <w:szCs w:val="28"/>
          <w:lang w:val="en-GB"/>
        </w:rPr>
        <w:t xml:space="preserve">For this reason, as part of holding the municipality accountable, DSAC had a meeting with the Municipality, Provincial COGTA, and Provincial Treasury to establish all the </w:t>
      </w:r>
      <w:r w:rsidRPr="00330353">
        <w:rPr>
          <w:rFonts w:ascii="Arial" w:eastAsia="Calibri" w:hAnsi="Arial" w:cs="Arial"/>
          <w:color w:val="000000"/>
          <w:sz w:val="28"/>
          <w:szCs w:val="28"/>
          <w:lang w:val="en-GB"/>
        </w:rPr>
        <w:tab/>
        <w:t>facts about the project as was reported through the media.</w:t>
      </w:r>
    </w:p>
    <w:p w:rsidR="000E099F" w:rsidRPr="00330353" w:rsidRDefault="000E099F" w:rsidP="000E099F">
      <w:pPr>
        <w:spacing w:after="200"/>
        <w:jc w:val="both"/>
        <w:rPr>
          <w:rFonts w:ascii="Arial" w:eastAsia="Calibri" w:hAnsi="Arial" w:cs="Arial"/>
          <w:color w:val="000000"/>
          <w:sz w:val="28"/>
          <w:szCs w:val="28"/>
          <w:lang w:val="en-GB"/>
        </w:rPr>
      </w:pPr>
      <w:r w:rsidRPr="00330353">
        <w:rPr>
          <w:rFonts w:ascii="Arial" w:eastAsia="Calibri" w:hAnsi="Arial" w:cs="Arial"/>
          <w:color w:val="000000"/>
          <w:sz w:val="28"/>
          <w:szCs w:val="28"/>
          <w:lang w:val="en-GB"/>
        </w:rPr>
        <w:t xml:space="preserve">Subsequent to this meeting a report providing an account of all developments in the project was provided </w:t>
      </w:r>
      <w:r w:rsidRPr="00330353">
        <w:rPr>
          <w:rFonts w:ascii="Arial" w:eastAsia="Calibri" w:hAnsi="Arial" w:cs="Arial"/>
          <w:b/>
          <w:bCs/>
          <w:color w:val="000000"/>
          <w:sz w:val="28"/>
          <w:szCs w:val="28"/>
          <w:lang w:val="en-GB"/>
        </w:rPr>
        <w:t>(See Annexure A)</w:t>
      </w:r>
      <w:r w:rsidRPr="00330353">
        <w:rPr>
          <w:rFonts w:ascii="Arial" w:eastAsia="Calibri" w:hAnsi="Arial" w:cs="Arial"/>
          <w:color w:val="000000"/>
          <w:sz w:val="28"/>
          <w:szCs w:val="28"/>
          <w:lang w:val="en-GB"/>
        </w:rPr>
        <w:t xml:space="preserve">, and this was the extent of the involvement </w:t>
      </w:r>
      <w:r w:rsidRPr="00330353">
        <w:rPr>
          <w:rFonts w:ascii="Arial" w:eastAsia="Calibri" w:hAnsi="Arial" w:cs="Arial"/>
          <w:color w:val="000000"/>
          <w:sz w:val="28"/>
          <w:szCs w:val="28"/>
          <w:lang w:val="en-GB"/>
        </w:rPr>
        <w:tab/>
        <w:t xml:space="preserve">of National DSAC on holding the Municipality accountable. </w:t>
      </w:r>
    </w:p>
    <w:p w:rsidR="000E099F" w:rsidRPr="00330353" w:rsidRDefault="000E099F" w:rsidP="000E099F">
      <w:pPr>
        <w:spacing w:after="200"/>
        <w:jc w:val="both"/>
        <w:rPr>
          <w:rFonts w:ascii="Arial" w:eastAsia="Calibri" w:hAnsi="Arial" w:cs="Arial"/>
          <w:color w:val="000000"/>
          <w:sz w:val="28"/>
          <w:szCs w:val="28"/>
          <w:lang w:val="en-GB"/>
        </w:rPr>
      </w:pPr>
      <w:r w:rsidRPr="00330353">
        <w:rPr>
          <w:rFonts w:ascii="Arial" w:eastAsia="Calibri" w:hAnsi="Arial" w:cs="Arial"/>
          <w:color w:val="000000"/>
          <w:sz w:val="28"/>
          <w:szCs w:val="28"/>
          <w:lang w:val="en-GB"/>
        </w:rPr>
        <w:t xml:space="preserve">Regarding consequence management that must be sanctioned against persons found to be at fault, the Department must allow relevant parties (i.e., the Municipality, Provincial COGTA, Provincial Treasury and </w:t>
      </w:r>
      <w:r w:rsidRPr="00330353">
        <w:rPr>
          <w:rFonts w:ascii="Arial" w:eastAsia="Calibri" w:hAnsi="Arial" w:cs="Arial"/>
          <w:color w:val="000000"/>
          <w:sz w:val="28"/>
          <w:szCs w:val="28"/>
          <w:lang w:val="en-GB"/>
        </w:rPr>
        <w:lastRenderedPageBreak/>
        <w:t xml:space="preserve">Auditor-General) to pursue such a process, as this does fall within its mandate.   </w:t>
      </w:r>
    </w:p>
    <w:p w:rsidR="000E099F" w:rsidRPr="00330353" w:rsidRDefault="000E099F" w:rsidP="000E099F">
      <w:pPr>
        <w:spacing w:after="200"/>
        <w:jc w:val="both"/>
        <w:rPr>
          <w:rFonts w:ascii="Arial" w:eastAsia="Calibri" w:hAnsi="Arial" w:cs="Times New Roman"/>
          <w:sz w:val="28"/>
          <w:szCs w:val="28"/>
          <w:lang w:val="en-ZA"/>
        </w:rPr>
      </w:pPr>
      <w:r w:rsidRPr="00330353">
        <w:rPr>
          <w:rFonts w:ascii="Arial" w:eastAsia="Calibri" w:hAnsi="Arial" w:cs="Times New Roman"/>
          <w:sz w:val="28"/>
          <w:szCs w:val="28"/>
          <w:lang w:val="en-ZA"/>
        </w:rPr>
        <w:t>(b)</w:t>
      </w:r>
      <w:r>
        <w:rPr>
          <w:rFonts w:ascii="Arial" w:eastAsia="Calibri" w:hAnsi="Arial" w:cs="Times New Roman"/>
          <w:sz w:val="28"/>
          <w:szCs w:val="28"/>
          <w:lang w:val="en-ZA"/>
        </w:rPr>
        <w:t xml:space="preserve">. In </w:t>
      </w:r>
      <w:r w:rsidRPr="00330353">
        <w:rPr>
          <w:rFonts w:ascii="Arial" w:eastAsia="Calibri" w:hAnsi="Arial" w:cs="Times New Roman"/>
          <w:sz w:val="28"/>
          <w:szCs w:val="28"/>
          <w:lang w:val="en-ZA"/>
        </w:rPr>
        <w:t xml:space="preserve">2017/18 DSAC allocated </w:t>
      </w:r>
      <w:proofErr w:type="spellStart"/>
      <w:r w:rsidRPr="00330353">
        <w:rPr>
          <w:rFonts w:ascii="Arial" w:eastAsia="Calibri" w:hAnsi="Arial" w:cs="Times New Roman"/>
          <w:sz w:val="28"/>
          <w:szCs w:val="28"/>
          <w:lang w:val="en-ZA"/>
        </w:rPr>
        <w:t>Winnie</w:t>
      </w:r>
      <w:proofErr w:type="spellEnd"/>
      <w:r w:rsidRPr="00330353">
        <w:rPr>
          <w:rFonts w:ascii="Arial" w:eastAsia="Calibri" w:hAnsi="Arial" w:cs="Times New Roman"/>
          <w:sz w:val="28"/>
          <w:szCs w:val="28"/>
          <w:lang w:val="en-ZA"/>
        </w:rPr>
        <w:t xml:space="preserve"> </w:t>
      </w:r>
      <w:proofErr w:type="spellStart"/>
      <w:r w:rsidRPr="00330353">
        <w:rPr>
          <w:rFonts w:ascii="Arial" w:eastAsia="Calibri" w:hAnsi="Arial" w:cs="Times New Roman"/>
          <w:sz w:val="28"/>
          <w:szCs w:val="28"/>
          <w:lang w:val="en-ZA"/>
        </w:rPr>
        <w:t>Madikizela</w:t>
      </w:r>
      <w:proofErr w:type="spellEnd"/>
      <w:r w:rsidRPr="00330353">
        <w:rPr>
          <w:rFonts w:ascii="Arial" w:eastAsia="Calibri" w:hAnsi="Arial" w:cs="Times New Roman"/>
          <w:sz w:val="28"/>
          <w:szCs w:val="28"/>
          <w:lang w:val="en-ZA"/>
        </w:rPr>
        <w:t xml:space="preserve"> Mandela Local Municipality (then called </w:t>
      </w:r>
      <w:proofErr w:type="spellStart"/>
      <w:r w:rsidRPr="00330353">
        <w:rPr>
          <w:rFonts w:ascii="Arial" w:eastAsia="Calibri" w:hAnsi="Arial" w:cs="Times New Roman"/>
          <w:sz w:val="28"/>
          <w:szCs w:val="28"/>
          <w:lang w:val="en-ZA"/>
        </w:rPr>
        <w:t>Mbizana</w:t>
      </w:r>
      <w:proofErr w:type="spellEnd"/>
      <w:r w:rsidRPr="00330353">
        <w:rPr>
          <w:rFonts w:ascii="Arial" w:eastAsia="Calibri" w:hAnsi="Arial" w:cs="Times New Roman"/>
          <w:sz w:val="28"/>
          <w:szCs w:val="28"/>
          <w:lang w:val="en-ZA"/>
        </w:rPr>
        <w:t xml:space="preserve"> Local Municipality) R12 000 000 for construction of some of the items in </w:t>
      </w:r>
      <w:proofErr w:type="spellStart"/>
      <w:r w:rsidRPr="00330353">
        <w:rPr>
          <w:rFonts w:ascii="Arial" w:eastAsia="Calibri" w:hAnsi="Arial" w:cs="Times New Roman"/>
          <w:sz w:val="28"/>
          <w:szCs w:val="28"/>
          <w:lang w:val="en-ZA"/>
        </w:rPr>
        <w:t>Mphuthumi</w:t>
      </w:r>
      <w:proofErr w:type="spellEnd"/>
      <w:r w:rsidRPr="00330353">
        <w:rPr>
          <w:rFonts w:ascii="Arial" w:eastAsia="Calibri" w:hAnsi="Arial" w:cs="Times New Roman"/>
          <w:sz w:val="28"/>
          <w:szCs w:val="28"/>
          <w:lang w:val="en-ZA"/>
        </w:rPr>
        <w:t xml:space="preserve"> </w:t>
      </w:r>
      <w:proofErr w:type="spellStart"/>
      <w:r w:rsidRPr="00330353">
        <w:rPr>
          <w:rFonts w:ascii="Arial" w:eastAsia="Calibri" w:hAnsi="Arial" w:cs="Times New Roman"/>
          <w:sz w:val="28"/>
          <w:szCs w:val="28"/>
          <w:lang w:val="en-ZA"/>
        </w:rPr>
        <w:t>Mafumbatha</w:t>
      </w:r>
      <w:proofErr w:type="spellEnd"/>
      <w:r w:rsidRPr="00330353">
        <w:rPr>
          <w:rFonts w:ascii="Arial" w:eastAsia="Calibri" w:hAnsi="Arial" w:cs="Times New Roman"/>
          <w:sz w:val="28"/>
          <w:szCs w:val="28"/>
          <w:lang w:val="en-ZA"/>
        </w:rPr>
        <w:t xml:space="preserve"> Sport Facility. The Scope of Work funded by DSAC included:</w:t>
      </w:r>
    </w:p>
    <w:p w:rsidR="000E099F" w:rsidRPr="00330353" w:rsidRDefault="000E099F" w:rsidP="000E099F">
      <w:pPr>
        <w:pStyle w:val="ListParagraph"/>
        <w:numPr>
          <w:ilvl w:val="1"/>
          <w:numId w:val="1"/>
        </w:numPr>
        <w:spacing w:line="240" w:lineRule="auto"/>
        <w:jc w:val="both"/>
        <w:rPr>
          <w:rFonts w:eastAsia="Calibri" w:cs="Times New Roman"/>
          <w:sz w:val="28"/>
          <w:szCs w:val="28"/>
        </w:rPr>
      </w:pPr>
      <w:r w:rsidRPr="00330353">
        <w:rPr>
          <w:rFonts w:eastAsia="Calibri" w:cs="Times New Roman"/>
          <w:sz w:val="28"/>
          <w:szCs w:val="28"/>
        </w:rPr>
        <w:t xml:space="preserve">Design of the whole facility - completed. </w:t>
      </w:r>
    </w:p>
    <w:p w:rsidR="000E099F" w:rsidRPr="00330353" w:rsidRDefault="000E099F" w:rsidP="000E099F">
      <w:pPr>
        <w:pStyle w:val="ListParagraph"/>
        <w:numPr>
          <w:ilvl w:val="1"/>
          <w:numId w:val="1"/>
        </w:numPr>
        <w:spacing w:line="240" w:lineRule="auto"/>
        <w:jc w:val="both"/>
        <w:rPr>
          <w:rFonts w:eastAsia="Calibri" w:cs="Times New Roman"/>
          <w:sz w:val="28"/>
          <w:szCs w:val="28"/>
        </w:rPr>
      </w:pPr>
      <w:r w:rsidRPr="00330353">
        <w:rPr>
          <w:rFonts w:eastAsia="Calibri" w:cs="Times New Roman"/>
          <w:sz w:val="28"/>
          <w:szCs w:val="28"/>
        </w:rPr>
        <w:t xml:space="preserve">Construction of soccer artificial turf – completed. </w:t>
      </w:r>
    </w:p>
    <w:p w:rsidR="000E099F" w:rsidRPr="00330353" w:rsidRDefault="000E099F" w:rsidP="000E099F">
      <w:pPr>
        <w:pStyle w:val="ListParagraph"/>
        <w:numPr>
          <w:ilvl w:val="1"/>
          <w:numId w:val="1"/>
        </w:numPr>
        <w:spacing w:line="240" w:lineRule="auto"/>
        <w:jc w:val="both"/>
        <w:rPr>
          <w:rFonts w:eastAsia="Calibri" w:cs="Times New Roman"/>
          <w:sz w:val="28"/>
          <w:szCs w:val="28"/>
        </w:rPr>
      </w:pPr>
      <w:r w:rsidRPr="00330353">
        <w:rPr>
          <w:rFonts w:eastAsia="Calibri" w:cs="Times New Roman"/>
          <w:sz w:val="28"/>
          <w:szCs w:val="28"/>
        </w:rPr>
        <w:t>Construction of rubberised athletic track – installation underway</w:t>
      </w:r>
    </w:p>
    <w:p w:rsidR="000E099F" w:rsidRPr="00330353" w:rsidRDefault="000E099F" w:rsidP="000E099F">
      <w:pPr>
        <w:spacing w:after="200"/>
        <w:jc w:val="both"/>
        <w:rPr>
          <w:rFonts w:ascii="Arial" w:eastAsia="Calibri" w:hAnsi="Arial" w:cs="Times New Roman"/>
          <w:b/>
          <w:sz w:val="28"/>
          <w:szCs w:val="28"/>
          <w:lang w:val="en-ZA"/>
        </w:rPr>
      </w:pPr>
      <w:r w:rsidRPr="00330353">
        <w:rPr>
          <w:rFonts w:ascii="Arial" w:eastAsia="Calibri" w:hAnsi="Arial" w:cs="Times New Roman"/>
          <w:b/>
          <w:sz w:val="28"/>
          <w:szCs w:val="28"/>
          <w:lang w:val="en-ZA"/>
        </w:rPr>
        <w:tab/>
        <w:t>Additional to the above, municipality funded the following items from its own budget:</w:t>
      </w:r>
    </w:p>
    <w:p w:rsidR="000E099F" w:rsidRPr="00330353" w:rsidRDefault="000E099F" w:rsidP="000E099F">
      <w:pPr>
        <w:pStyle w:val="ListParagraph"/>
        <w:numPr>
          <w:ilvl w:val="1"/>
          <w:numId w:val="2"/>
        </w:numPr>
        <w:spacing w:line="240" w:lineRule="auto"/>
        <w:jc w:val="both"/>
        <w:rPr>
          <w:rFonts w:eastAsia="Calibri" w:cs="Times New Roman"/>
          <w:sz w:val="28"/>
          <w:szCs w:val="28"/>
        </w:rPr>
      </w:pPr>
      <w:r w:rsidRPr="00330353">
        <w:rPr>
          <w:rFonts w:eastAsia="Calibri" w:cs="Times New Roman"/>
          <w:sz w:val="28"/>
          <w:szCs w:val="28"/>
        </w:rPr>
        <w:t xml:space="preserve">Fencing – completed. </w:t>
      </w:r>
    </w:p>
    <w:p w:rsidR="000E099F" w:rsidRPr="00330353" w:rsidRDefault="000E099F" w:rsidP="000E099F">
      <w:pPr>
        <w:pStyle w:val="ListParagraph"/>
        <w:numPr>
          <w:ilvl w:val="1"/>
          <w:numId w:val="2"/>
        </w:numPr>
        <w:spacing w:line="240" w:lineRule="auto"/>
        <w:jc w:val="both"/>
        <w:rPr>
          <w:rFonts w:eastAsia="Calibri" w:cs="Times New Roman"/>
          <w:sz w:val="28"/>
          <w:szCs w:val="28"/>
        </w:rPr>
      </w:pPr>
      <w:r w:rsidRPr="00330353">
        <w:rPr>
          <w:rFonts w:eastAsia="Calibri" w:cs="Times New Roman"/>
          <w:sz w:val="28"/>
          <w:szCs w:val="28"/>
        </w:rPr>
        <w:t xml:space="preserve">Grandstand - completed. </w:t>
      </w:r>
    </w:p>
    <w:p w:rsidR="000E099F" w:rsidRPr="00330353" w:rsidRDefault="000E099F" w:rsidP="000E099F">
      <w:pPr>
        <w:pStyle w:val="ListParagraph"/>
        <w:numPr>
          <w:ilvl w:val="1"/>
          <w:numId w:val="2"/>
        </w:numPr>
        <w:spacing w:line="240" w:lineRule="auto"/>
        <w:jc w:val="both"/>
        <w:rPr>
          <w:rFonts w:eastAsia="Calibri" w:cs="Times New Roman"/>
          <w:sz w:val="28"/>
          <w:szCs w:val="28"/>
        </w:rPr>
      </w:pPr>
      <w:r w:rsidRPr="00330353">
        <w:rPr>
          <w:rFonts w:eastAsia="Calibri" w:cs="Times New Roman"/>
          <w:sz w:val="28"/>
          <w:szCs w:val="28"/>
        </w:rPr>
        <w:t>Combi courts – construction underway</w:t>
      </w:r>
    </w:p>
    <w:p w:rsidR="000E099F" w:rsidRPr="00330353" w:rsidRDefault="000E099F" w:rsidP="000E099F">
      <w:pPr>
        <w:pStyle w:val="ListParagraph"/>
        <w:numPr>
          <w:ilvl w:val="1"/>
          <w:numId w:val="2"/>
        </w:numPr>
        <w:spacing w:line="240" w:lineRule="auto"/>
        <w:jc w:val="both"/>
        <w:rPr>
          <w:rFonts w:eastAsia="Calibri" w:cs="Times New Roman"/>
          <w:sz w:val="28"/>
          <w:szCs w:val="28"/>
        </w:rPr>
      </w:pPr>
      <w:r w:rsidRPr="00330353">
        <w:rPr>
          <w:rFonts w:eastAsia="Calibri" w:cs="Times New Roman"/>
          <w:sz w:val="28"/>
          <w:szCs w:val="28"/>
        </w:rPr>
        <w:t xml:space="preserve">Ablution and storage facilities - completed. </w:t>
      </w:r>
    </w:p>
    <w:p w:rsidR="000E099F" w:rsidRPr="00330353" w:rsidRDefault="000E099F" w:rsidP="000E099F">
      <w:pPr>
        <w:pStyle w:val="ListParagraph"/>
        <w:numPr>
          <w:ilvl w:val="1"/>
          <w:numId w:val="2"/>
        </w:numPr>
        <w:spacing w:line="240" w:lineRule="auto"/>
        <w:jc w:val="both"/>
        <w:rPr>
          <w:rFonts w:eastAsia="Calibri" w:cs="Times New Roman"/>
          <w:sz w:val="28"/>
          <w:szCs w:val="28"/>
        </w:rPr>
      </w:pPr>
      <w:r w:rsidRPr="00330353">
        <w:rPr>
          <w:rFonts w:eastAsia="Calibri" w:cs="Times New Roman"/>
          <w:sz w:val="28"/>
          <w:szCs w:val="28"/>
        </w:rPr>
        <w:t xml:space="preserve">Change rooms and office space – completed. </w:t>
      </w:r>
    </w:p>
    <w:p w:rsidR="000E099F" w:rsidRPr="00330353" w:rsidRDefault="000E099F" w:rsidP="000E099F">
      <w:pPr>
        <w:pStyle w:val="DACBODYTEXT"/>
        <w:spacing w:after="0" w:line="240" w:lineRule="auto"/>
        <w:ind w:left="0"/>
        <w:jc w:val="both"/>
        <w:rPr>
          <w:rFonts w:eastAsia="Times New Roman" w:cs="Arial"/>
          <w:b/>
          <w:sz w:val="28"/>
          <w:szCs w:val="28"/>
          <w:lang w:val="en-US"/>
        </w:rPr>
      </w:pPr>
      <w:r w:rsidRPr="00330353">
        <w:rPr>
          <w:rFonts w:eastAsia="Calibri" w:cs="Times New Roman"/>
          <w:sz w:val="28"/>
          <w:szCs w:val="28"/>
        </w:rPr>
        <w:t xml:space="preserve">Whilst DSAC make allocations from the ring-fenced MIG to Municipalities for the purpose of development of sport facilities, the funds are transferred by COGTA to the Municipalities, and the latter follow their own Supply Chain Management processes to appoint a suitable bidder. DSAC is not involved with this process, and any transgressions in this process should be dealt with by relevant and competent </w:t>
      </w:r>
      <w:r w:rsidRPr="00330353">
        <w:rPr>
          <w:rFonts w:eastAsia="Calibri" w:cs="Times New Roman"/>
          <w:sz w:val="28"/>
          <w:szCs w:val="28"/>
        </w:rPr>
        <w:tab/>
        <w:t xml:space="preserve">parties. </w:t>
      </w:r>
    </w:p>
    <w:p w:rsidR="00430C9C" w:rsidRDefault="00430C9C"/>
    <w:sectPr w:rsidR="00430C9C" w:rsidSect="00ED1C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55700"/>
    <w:multiLevelType w:val="hybridMultilevel"/>
    <w:tmpl w:val="CA4A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F27CC"/>
    <w:multiLevelType w:val="hybridMultilevel"/>
    <w:tmpl w:val="1402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099F"/>
    <w:rsid w:val="000E099F"/>
    <w:rsid w:val="00430C9C"/>
    <w:rsid w:val="005D1EE9"/>
    <w:rsid w:val="00681091"/>
    <w:rsid w:val="00ED1C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E099F"/>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0E099F"/>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0E099F"/>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2023-06-15T08:42:00Z</dcterms:created>
  <dcterms:modified xsi:type="dcterms:W3CDTF">2023-06-15T08:42:00Z</dcterms:modified>
</cp:coreProperties>
</file>