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AA36A1"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w:t>
      </w:r>
      <w:r w:rsidR="00BD715D">
        <w:rPr>
          <w:rFonts w:ascii="Arial Narrow" w:eastAsia="Arial Unicode MS" w:hAnsi="Arial Narrow" w:cs="Times New Roman"/>
          <w:b/>
          <w:bCs/>
          <w:sz w:val="24"/>
          <w:szCs w:val="24"/>
          <w:bdr w:val="nil"/>
          <w:lang w:val="en-US"/>
        </w:rPr>
        <w:t>912</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0A2C34">
        <w:rPr>
          <w:rFonts w:ascii="Arial Narrow" w:eastAsia="Arial Unicode MS" w:hAnsi="Arial Narrow" w:cs="Times New Roman"/>
          <w:b/>
          <w:bCs/>
          <w:sz w:val="24"/>
          <w:szCs w:val="24"/>
          <w:bdr w:val="nil"/>
          <w:lang w:val="en-US"/>
        </w:rPr>
        <w:t>21 August</w:t>
      </w:r>
      <w:r w:rsidR="00655403" w:rsidRPr="00655403">
        <w:rPr>
          <w:rFonts w:ascii="Arial Narrow" w:eastAsia="Arial Unicode MS" w:hAnsi="Arial Narrow" w:cs="Times New Roman"/>
          <w:b/>
          <w:bCs/>
          <w:sz w:val="24"/>
          <w:szCs w:val="24"/>
          <w:bdr w:val="nil"/>
          <w:lang w:val="en-US"/>
        </w:rPr>
        <w:t>2020</w:t>
      </w:r>
    </w:p>
    <w:p w:rsidR="006C22EF" w:rsidRPr="00655403" w:rsidRDefault="000A2C34"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32</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884226">
        <w:rPr>
          <w:rFonts w:ascii="Arial Narrow" w:eastAsia="Arial Unicode MS" w:hAnsi="Arial Narrow" w:cs="Times New Roman"/>
          <w:b/>
          <w:bCs/>
          <w:sz w:val="24"/>
          <w:szCs w:val="24"/>
          <w:bdr w:val="nil"/>
          <w:lang w:val="en-US"/>
        </w:rPr>
        <w:t>07 September 2020</w:t>
      </w:r>
      <w:bookmarkStart w:id="0" w:name="_GoBack"/>
      <w:bookmarkEnd w:id="0"/>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9A0955"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A0955">
        <w:rPr>
          <w:rFonts w:ascii="Arial Narrow" w:eastAsia="Calibri" w:hAnsi="Arial Narrow" w:cs="Times New Roman"/>
          <w:b/>
          <w:sz w:val="24"/>
          <w:szCs w:val="24"/>
          <w:lang w:val="af-ZA"/>
        </w:rPr>
        <w:t xml:space="preserve">Mr M S F de Freitas (DA) to ask the Minister of Tourism:  </w:t>
      </w:r>
    </w:p>
    <w:p w:rsidR="00702B63" w:rsidRPr="00702B63" w:rsidRDefault="00702B63" w:rsidP="00BC5862">
      <w:pPr>
        <w:pBdr>
          <w:top w:val="nil"/>
          <w:left w:val="nil"/>
          <w:bottom w:val="nil"/>
          <w:right w:val="nil"/>
          <w:between w:val="nil"/>
          <w:bar w:val="nil"/>
        </w:pBdr>
        <w:spacing w:after="0" w:line="360" w:lineRule="auto"/>
        <w:ind w:left="720" w:hanging="720"/>
        <w:jc w:val="both"/>
        <w:rPr>
          <w:rFonts w:ascii="Arial Narrow" w:eastAsia="Calibri" w:hAnsi="Arial Narrow" w:cs="Times New Roman"/>
          <w:sz w:val="24"/>
          <w:szCs w:val="24"/>
          <w:lang w:val="af-ZA"/>
        </w:rPr>
      </w:pPr>
      <w:r w:rsidRPr="00702B63">
        <w:rPr>
          <w:rFonts w:ascii="Arial Narrow" w:eastAsia="Calibri" w:hAnsi="Arial Narrow" w:cs="Times New Roman"/>
          <w:sz w:val="24"/>
          <w:szCs w:val="24"/>
          <w:lang w:val="af-ZA"/>
        </w:rPr>
        <w:t>(1)</w:t>
      </w:r>
      <w:r w:rsidRPr="00702B63">
        <w:rPr>
          <w:rFonts w:ascii="Arial Narrow" w:eastAsia="Calibri" w:hAnsi="Arial Narrow" w:cs="Times New Roman"/>
          <w:sz w:val="24"/>
          <w:szCs w:val="24"/>
          <w:lang w:val="af-ZA"/>
        </w:rPr>
        <w:tab/>
        <w:t xml:space="preserve">Whether, with reference to her reply to question 1233 on 28 October 2019, any Memorandum of Understanding (MOU) or Memorandum of Agreement (MOA) has been signed with the relevant authorities in each province in the past three financial years; if so, </w:t>
      </w:r>
    </w:p>
    <w:p w:rsidR="00702B63" w:rsidRPr="00702B63" w:rsidRDefault="00702B63" w:rsidP="00BC5862">
      <w:pPr>
        <w:pBdr>
          <w:top w:val="nil"/>
          <w:left w:val="nil"/>
          <w:bottom w:val="nil"/>
          <w:right w:val="nil"/>
          <w:between w:val="nil"/>
          <w:bar w:val="nil"/>
        </w:pBdr>
        <w:spacing w:after="0" w:line="360" w:lineRule="auto"/>
        <w:ind w:left="720" w:hanging="720"/>
        <w:jc w:val="both"/>
        <w:rPr>
          <w:rFonts w:ascii="Arial Narrow" w:eastAsia="Calibri" w:hAnsi="Arial Narrow" w:cs="Times New Roman"/>
          <w:sz w:val="24"/>
          <w:szCs w:val="24"/>
          <w:lang w:val="af-ZA"/>
        </w:rPr>
      </w:pPr>
      <w:r w:rsidRPr="00702B63">
        <w:rPr>
          <w:rFonts w:ascii="Arial Narrow" w:eastAsia="Calibri" w:hAnsi="Arial Narrow" w:cs="Times New Roman"/>
          <w:sz w:val="24"/>
          <w:szCs w:val="24"/>
          <w:lang w:val="af-ZA"/>
        </w:rPr>
        <w:t>(2)</w:t>
      </w:r>
      <w:r w:rsidRPr="00702B63">
        <w:rPr>
          <w:rFonts w:ascii="Arial Narrow" w:eastAsia="Calibri" w:hAnsi="Arial Narrow" w:cs="Times New Roman"/>
          <w:sz w:val="24"/>
          <w:szCs w:val="24"/>
          <w:lang w:val="af-ZA"/>
        </w:rPr>
        <w:tab/>
        <w:t>what are the details of (a) all the persons with whom each specified MOU and MOA was signed respectively and (b) the date on which each MOU and MOA was signed;</w:t>
      </w:r>
    </w:p>
    <w:p w:rsidR="00702B63" w:rsidRDefault="00702B63" w:rsidP="00BC5862">
      <w:pPr>
        <w:pBdr>
          <w:top w:val="nil"/>
          <w:left w:val="nil"/>
          <w:bottom w:val="nil"/>
          <w:right w:val="nil"/>
          <w:between w:val="nil"/>
          <w:bar w:val="nil"/>
        </w:pBdr>
        <w:spacing w:after="0" w:line="360" w:lineRule="auto"/>
        <w:ind w:left="720" w:hanging="720"/>
        <w:jc w:val="both"/>
        <w:rPr>
          <w:rFonts w:ascii="Arial Narrow" w:eastAsia="Calibri" w:hAnsi="Arial Narrow" w:cs="Times New Roman"/>
          <w:sz w:val="24"/>
          <w:szCs w:val="24"/>
          <w:lang w:val="af-ZA"/>
        </w:rPr>
      </w:pPr>
      <w:r w:rsidRPr="00702B63">
        <w:rPr>
          <w:rFonts w:ascii="Arial Narrow" w:eastAsia="Calibri" w:hAnsi="Arial Narrow" w:cs="Times New Roman"/>
          <w:sz w:val="24"/>
          <w:szCs w:val="24"/>
          <w:lang w:val="af-ZA"/>
        </w:rPr>
        <w:t>(3)</w:t>
      </w:r>
      <w:r w:rsidRPr="00702B63">
        <w:rPr>
          <w:rFonts w:ascii="Arial Narrow" w:eastAsia="Calibri" w:hAnsi="Arial Narrow" w:cs="Times New Roman"/>
          <w:sz w:val="24"/>
          <w:szCs w:val="24"/>
          <w:lang w:val="af-ZA"/>
        </w:rPr>
        <w:tab/>
        <w:t>what are the details of the (a) procedures that have been put in place to ensure that the terms of the memoranda are adhered to and (b) timelines and deadlines that have been set for each memorandum?</w:t>
      </w:r>
      <w:r w:rsidRPr="00702B63">
        <w:rPr>
          <w:rFonts w:ascii="Arial Narrow" w:eastAsia="Calibri" w:hAnsi="Arial Narrow" w:cs="Times New Roman"/>
          <w:sz w:val="24"/>
          <w:szCs w:val="24"/>
          <w:lang w:val="af-ZA"/>
        </w:rPr>
        <w:tab/>
      </w:r>
      <w:r w:rsidRPr="00702B63">
        <w:rPr>
          <w:rFonts w:ascii="Arial Narrow" w:eastAsia="Calibri" w:hAnsi="Arial Narrow" w:cs="Times New Roman"/>
          <w:sz w:val="24"/>
          <w:szCs w:val="24"/>
          <w:lang w:val="af-ZA"/>
        </w:rPr>
        <w:tab/>
      </w:r>
      <w:r w:rsidRPr="00702B63">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p>
    <w:p w:rsidR="00AA36A1" w:rsidRDefault="00702B63" w:rsidP="00702B63">
      <w:pPr>
        <w:pBdr>
          <w:top w:val="nil"/>
          <w:left w:val="nil"/>
          <w:bottom w:val="nil"/>
          <w:right w:val="nil"/>
          <w:between w:val="nil"/>
          <w:bar w:val="nil"/>
        </w:pBdr>
        <w:spacing w:after="0" w:line="360" w:lineRule="auto"/>
        <w:ind w:left="720" w:hanging="720"/>
        <w:rPr>
          <w:rFonts w:ascii="Arial Narrow" w:eastAsia="Calibri" w:hAnsi="Arial Narrow" w:cs="Times New Roman"/>
          <w:sz w:val="24"/>
          <w:szCs w:val="24"/>
          <w:lang w:val="af-ZA"/>
        </w:rPr>
      </w:pP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sidRPr="00702B63">
        <w:rPr>
          <w:rFonts w:ascii="Arial Narrow" w:eastAsia="Calibri" w:hAnsi="Arial Narrow" w:cs="Times New Roman"/>
          <w:sz w:val="24"/>
          <w:szCs w:val="24"/>
          <w:lang w:val="af-ZA"/>
        </w:rPr>
        <w:tab/>
        <w:t>NW2427E</w:t>
      </w:r>
    </w:p>
    <w:p w:rsidR="00702B63" w:rsidRDefault="00702B6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33F8A" w:rsidRPr="005D3C4B" w:rsidRDefault="00E33F8A" w:rsidP="00781325">
      <w:pPr>
        <w:pStyle w:val="ListParagraph"/>
        <w:numPr>
          <w:ilvl w:val="0"/>
          <w:numId w:val="25"/>
        </w:numPr>
        <w:pBdr>
          <w:top w:val="nil"/>
          <w:left w:val="nil"/>
          <w:bottom w:val="nil"/>
          <w:right w:val="nil"/>
          <w:between w:val="nil"/>
          <w:bar w:val="nil"/>
        </w:pBdr>
        <w:spacing w:after="0" w:line="360" w:lineRule="auto"/>
        <w:ind w:left="709" w:hanging="709"/>
        <w:jc w:val="both"/>
        <w:rPr>
          <w:rFonts w:ascii="Arial Narrow" w:eastAsia="Calibri" w:hAnsi="Arial Narrow" w:cs="Times New Roman"/>
          <w:sz w:val="24"/>
          <w:szCs w:val="24"/>
          <w:lang w:val="af-ZA"/>
        </w:rPr>
      </w:pPr>
      <w:r w:rsidRPr="005D3C4B">
        <w:rPr>
          <w:rFonts w:ascii="Arial Narrow" w:hAnsi="Arial Narrow"/>
          <w:sz w:val="24"/>
          <w:szCs w:val="24"/>
        </w:rPr>
        <w:t>The Department of Tourism has signed Memoranda of Understanding and Agreements (MOU and MOA) with the relevantManagement Authorities of the UNESCO World Heritage Sites in each province, to unlock the potential and competitiveness of tourism in these World Heritage Sites (WHSs)</w:t>
      </w:r>
      <w:r w:rsidR="00DA6AB1" w:rsidRPr="005D3C4B">
        <w:rPr>
          <w:rFonts w:ascii="Arial Narrow" w:hAnsi="Arial Narrow"/>
          <w:sz w:val="24"/>
          <w:szCs w:val="24"/>
        </w:rPr>
        <w:t xml:space="preserve">. </w:t>
      </w:r>
      <w:r w:rsidR="005D3C4B" w:rsidRPr="005D3C4B">
        <w:rPr>
          <w:rFonts w:ascii="Arial Narrow" w:hAnsi="Arial Narrow"/>
          <w:sz w:val="24"/>
          <w:szCs w:val="24"/>
        </w:rPr>
        <w:t>Between</w:t>
      </w:r>
      <w:r w:rsidR="00B95E55" w:rsidRPr="005D3C4B">
        <w:rPr>
          <w:rFonts w:ascii="Arial Narrow" w:hAnsi="Arial Narrow"/>
          <w:sz w:val="24"/>
          <w:szCs w:val="24"/>
        </w:rPr>
        <w:t xml:space="preserve"> 2017</w:t>
      </w:r>
      <w:r w:rsidR="0014702E" w:rsidRPr="005D3C4B">
        <w:rPr>
          <w:rFonts w:ascii="Arial Narrow" w:hAnsi="Arial Narrow"/>
          <w:sz w:val="24"/>
          <w:szCs w:val="24"/>
        </w:rPr>
        <w:t>/18to</w:t>
      </w:r>
      <w:r w:rsidR="00B95E55" w:rsidRPr="005D3C4B">
        <w:rPr>
          <w:rFonts w:ascii="Arial Narrow" w:hAnsi="Arial Narrow"/>
          <w:sz w:val="24"/>
          <w:szCs w:val="24"/>
        </w:rPr>
        <w:t xml:space="preserve"> 2019</w:t>
      </w:r>
      <w:r w:rsidR="0014702E" w:rsidRPr="005D3C4B">
        <w:rPr>
          <w:rFonts w:ascii="Arial Narrow" w:hAnsi="Arial Narrow"/>
          <w:sz w:val="24"/>
          <w:szCs w:val="24"/>
        </w:rPr>
        <w:t>/20 financial years the Department has signed MOUs and Agreements with Management Authorities of the following state institutions:</w:t>
      </w:r>
      <w:r w:rsidR="00A42E86" w:rsidRPr="005D3C4B">
        <w:rPr>
          <w:rFonts w:ascii="Arial Narrow" w:hAnsi="Arial Narrow"/>
          <w:sz w:val="24"/>
          <w:szCs w:val="24"/>
        </w:rPr>
        <w:t>Robben Island Museum (WC), Cradle of Humankind (GP), iSimangaliso Wetland Park (KZN), Maloti Drakensberg Transfront</w:t>
      </w:r>
      <w:r w:rsidR="005D3C4B">
        <w:rPr>
          <w:rFonts w:ascii="Arial Narrow" w:hAnsi="Arial Narrow"/>
          <w:sz w:val="24"/>
          <w:szCs w:val="24"/>
        </w:rPr>
        <w:t>ie</w:t>
      </w:r>
      <w:r w:rsidR="00A42E86" w:rsidRPr="005D3C4B">
        <w:rPr>
          <w:rFonts w:ascii="Arial Narrow" w:hAnsi="Arial Narrow"/>
          <w:sz w:val="24"/>
          <w:szCs w:val="24"/>
        </w:rPr>
        <w:t xml:space="preserve">r </w:t>
      </w:r>
      <w:r w:rsidR="00A42E86" w:rsidRPr="005D3C4B">
        <w:rPr>
          <w:rFonts w:ascii="Arial Narrow" w:hAnsi="Arial Narrow"/>
          <w:sz w:val="24"/>
          <w:szCs w:val="24"/>
        </w:rPr>
        <w:lastRenderedPageBreak/>
        <w:t>Park (KZN), Mapungubwe Cultural Landscape (LP), Khomani Cultural Landscape (Kgalagadi Transfront</w:t>
      </w:r>
      <w:r w:rsidR="005D3C4B">
        <w:rPr>
          <w:rFonts w:ascii="Arial Narrow" w:hAnsi="Arial Narrow"/>
          <w:sz w:val="24"/>
          <w:szCs w:val="24"/>
        </w:rPr>
        <w:t>ie</w:t>
      </w:r>
      <w:r w:rsidR="00A42E86" w:rsidRPr="005D3C4B">
        <w:rPr>
          <w:rFonts w:ascii="Arial Narrow" w:hAnsi="Arial Narrow"/>
          <w:sz w:val="24"/>
          <w:szCs w:val="24"/>
        </w:rPr>
        <w:t xml:space="preserve">r Park - NC), Barberton Makhonjwa Mountains(MP), Richtersveld Cultural Landscape (NC), Cape Floral Region (WC &amp; EC) and Vredefort Dome (FS).     </w:t>
      </w:r>
    </w:p>
    <w:p w:rsidR="00702B63" w:rsidRPr="005D3C4B" w:rsidRDefault="00702B63" w:rsidP="00781325">
      <w:pPr>
        <w:pStyle w:val="ListParagraph"/>
        <w:pBdr>
          <w:top w:val="nil"/>
          <w:left w:val="nil"/>
          <w:bottom w:val="nil"/>
          <w:right w:val="nil"/>
          <w:between w:val="nil"/>
          <w:bar w:val="nil"/>
        </w:pBdr>
        <w:spacing w:after="0" w:line="360" w:lineRule="auto"/>
        <w:ind w:left="1080"/>
        <w:jc w:val="both"/>
        <w:rPr>
          <w:rFonts w:ascii="Arial Narrow" w:eastAsia="Calibri" w:hAnsi="Arial Narrow" w:cs="Times New Roman"/>
          <w:sz w:val="24"/>
          <w:szCs w:val="24"/>
          <w:lang w:val="af-ZA"/>
        </w:rPr>
      </w:pPr>
    </w:p>
    <w:p w:rsidR="00702B63" w:rsidRPr="005D3C4B" w:rsidRDefault="00702B63" w:rsidP="00781325">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sidRPr="005D3C4B">
        <w:rPr>
          <w:rFonts w:ascii="Arial Narrow" w:eastAsia="Calibri" w:hAnsi="Arial Narrow" w:cs="Times New Roman"/>
          <w:sz w:val="24"/>
          <w:szCs w:val="24"/>
          <w:lang w:val="af-ZA"/>
        </w:rPr>
        <w:t>(2)</w:t>
      </w:r>
      <w:r w:rsidRPr="005D3C4B">
        <w:rPr>
          <w:rFonts w:ascii="Arial Narrow" w:eastAsia="Calibri" w:hAnsi="Arial Narrow" w:cs="Times New Roman"/>
          <w:sz w:val="24"/>
          <w:szCs w:val="24"/>
          <w:lang w:val="af-ZA"/>
        </w:rPr>
        <w:tab/>
      </w:r>
      <w:r w:rsidR="00E33F8A" w:rsidRPr="005D3C4B">
        <w:rPr>
          <w:rFonts w:ascii="Arial Narrow" w:eastAsia="Calibri" w:hAnsi="Arial Narrow" w:cs="Times New Roman"/>
          <w:sz w:val="24"/>
          <w:szCs w:val="24"/>
          <w:lang w:val="af-ZA"/>
        </w:rPr>
        <w:t>The signed MOUs and Agreements clearly outline del</w:t>
      </w:r>
      <w:r w:rsidR="0014702E" w:rsidRPr="005D3C4B">
        <w:rPr>
          <w:rFonts w:ascii="Arial Narrow" w:eastAsia="Calibri" w:hAnsi="Arial Narrow" w:cs="Times New Roman"/>
          <w:sz w:val="24"/>
          <w:szCs w:val="24"/>
          <w:lang w:val="af-ZA"/>
        </w:rPr>
        <w:t>e</w:t>
      </w:r>
      <w:r w:rsidR="00E33F8A" w:rsidRPr="005D3C4B">
        <w:rPr>
          <w:rFonts w:ascii="Arial Narrow" w:eastAsia="Calibri" w:hAnsi="Arial Narrow" w:cs="Times New Roman"/>
          <w:sz w:val="24"/>
          <w:szCs w:val="24"/>
          <w:lang w:val="af-ZA"/>
        </w:rPr>
        <w:t>gation of authority and powers, roles and responsibilities of each party, governance and institutional arrangements</w:t>
      </w:r>
      <w:r w:rsidR="00DA6AB1" w:rsidRPr="005D3C4B">
        <w:rPr>
          <w:rFonts w:ascii="Arial Narrow" w:eastAsia="Calibri" w:hAnsi="Arial Narrow" w:cs="Times New Roman"/>
          <w:sz w:val="24"/>
          <w:szCs w:val="24"/>
          <w:lang w:val="af-ZA"/>
        </w:rPr>
        <w:t>, to support and guide project implementation.</w:t>
      </w:r>
      <w:r w:rsidR="0014702E" w:rsidRPr="005D3C4B">
        <w:rPr>
          <w:rFonts w:ascii="Arial Narrow" w:eastAsia="Calibri" w:hAnsi="Arial Narrow" w:cs="Times New Roman"/>
          <w:sz w:val="24"/>
          <w:szCs w:val="24"/>
          <w:lang w:val="af-ZA"/>
        </w:rPr>
        <w:t xml:space="preserve"> The </w:t>
      </w:r>
      <w:r w:rsidR="005D3C4B">
        <w:rPr>
          <w:rFonts w:ascii="Arial Narrow" w:eastAsia="Calibri" w:hAnsi="Arial Narrow" w:cs="Times New Roman"/>
          <w:sz w:val="24"/>
          <w:szCs w:val="24"/>
          <w:lang w:val="af-ZA"/>
        </w:rPr>
        <w:t xml:space="preserve">MOUs are signed by the delegated authority in </w:t>
      </w:r>
      <w:r w:rsidR="00CA1433">
        <w:rPr>
          <w:rFonts w:ascii="Arial Narrow" w:eastAsia="Calibri" w:hAnsi="Arial Narrow" w:cs="Times New Roman"/>
          <w:sz w:val="24"/>
          <w:szCs w:val="24"/>
          <w:lang w:val="af-ZA"/>
        </w:rPr>
        <w:t xml:space="preserve">the </w:t>
      </w:r>
      <w:r w:rsidR="005D3C4B">
        <w:rPr>
          <w:rFonts w:ascii="Arial Narrow" w:eastAsia="Calibri" w:hAnsi="Arial Narrow" w:cs="Times New Roman"/>
          <w:sz w:val="24"/>
          <w:szCs w:val="24"/>
          <w:lang w:val="af-ZA"/>
        </w:rPr>
        <w:t>respective institutions.</w:t>
      </w:r>
    </w:p>
    <w:p w:rsidR="00702B63" w:rsidRPr="005D3C4B" w:rsidRDefault="00702B63" w:rsidP="00781325">
      <w:pPr>
        <w:pBdr>
          <w:top w:val="nil"/>
          <w:left w:val="nil"/>
          <w:bottom w:val="nil"/>
          <w:right w:val="nil"/>
          <w:between w:val="nil"/>
          <w:bar w:val="nil"/>
        </w:pBdr>
        <w:spacing w:after="0" w:line="360" w:lineRule="auto"/>
        <w:ind w:left="720" w:hanging="720"/>
        <w:jc w:val="both"/>
        <w:rPr>
          <w:rFonts w:ascii="Arial Narrow" w:eastAsia="Calibri" w:hAnsi="Arial Narrow" w:cs="Times New Roman"/>
          <w:sz w:val="24"/>
          <w:szCs w:val="24"/>
          <w:lang w:val="af-ZA"/>
        </w:rPr>
      </w:pPr>
    </w:p>
    <w:p w:rsidR="00702B63" w:rsidRPr="005D3C4B" w:rsidRDefault="00702B63" w:rsidP="00781325">
      <w:pPr>
        <w:pStyle w:val="ListParagraph"/>
        <w:pBdr>
          <w:top w:val="nil"/>
          <w:left w:val="nil"/>
          <w:bottom w:val="nil"/>
          <w:right w:val="nil"/>
          <w:between w:val="nil"/>
          <w:bar w:val="nil"/>
        </w:pBdr>
        <w:tabs>
          <w:tab w:val="left" w:pos="567"/>
        </w:tabs>
        <w:spacing w:after="0" w:line="360" w:lineRule="auto"/>
        <w:ind w:left="567" w:hanging="567"/>
        <w:jc w:val="both"/>
        <w:rPr>
          <w:rFonts w:ascii="Arial Narrow" w:eastAsia="Calibri" w:hAnsi="Arial Narrow" w:cs="Times New Roman"/>
          <w:sz w:val="24"/>
          <w:szCs w:val="24"/>
          <w:lang w:val="af-ZA"/>
        </w:rPr>
      </w:pPr>
      <w:r w:rsidRPr="005D3C4B">
        <w:rPr>
          <w:rFonts w:ascii="Arial Narrow" w:eastAsia="Calibri" w:hAnsi="Arial Narrow" w:cs="Times New Roman"/>
          <w:sz w:val="24"/>
          <w:szCs w:val="24"/>
          <w:lang w:val="af-ZA"/>
        </w:rPr>
        <w:t>(3)</w:t>
      </w:r>
      <w:r w:rsidRPr="005D3C4B">
        <w:rPr>
          <w:rFonts w:ascii="Arial Narrow" w:eastAsia="Calibri" w:hAnsi="Arial Narrow" w:cs="Times New Roman"/>
          <w:sz w:val="24"/>
          <w:szCs w:val="24"/>
          <w:lang w:val="af-ZA"/>
        </w:rPr>
        <w:tab/>
      </w:r>
      <w:r w:rsidR="008A6938" w:rsidRPr="005D3C4B">
        <w:rPr>
          <w:rFonts w:ascii="Arial Narrow" w:eastAsia="Calibri" w:hAnsi="Arial Narrow" w:cs="Times New Roman"/>
          <w:sz w:val="24"/>
          <w:szCs w:val="24"/>
          <w:lang w:val="af-ZA"/>
        </w:rPr>
        <w:t xml:space="preserve">(a) and (b) </w:t>
      </w:r>
      <w:r w:rsidR="00E33F8A" w:rsidRPr="005D3C4B">
        <w:rPr>
          <w:rFonts w:ascii="Arial Narrow" w:eastAsia="Calibri" w:hAnsi="Arial Narrow" w:cs="Times New Roman"/>
          <w:sz w:val="24"/>
          <w:szCs w:val="24"/>
          <w:lang w:val="af-ZA"/>
        </w:rPr>
        <w:t xml:space="preserve">In line with the above response, </w:t>
      </w:r>
      <w:r w:rsidR="00A42E86" w:rsidRPr="005D3C4B">
        <w:rPr>
          <w:rFonts w:ascii="Arial Narrow" w:eastAsia="Calibri" w:hAnsi="Arial Narrow" w:cs="Times New Roman"/>
          <w:sz w:val="24"/>
          <w:szCs w:val="24"/>
          <w:lang w:val="af-ZA"/>
        </w:rPr>
        <w:t>the signed MOUs and Agreement</w:t>
      </w:r>
      <w:r w:rsidR="008A6938" w:rsidRPr="005D3C4B">
        <w:rPr>
          <w:rFonts w:ascii="Arial Narrow" w:eastAsia="Calibri" w:hAnsi="Arial Narrow" w:cs="Times New Roman"/>
          <w:sz w:val="24"/>
          <w:szCs w:val="24"/>
          <w:lang w:val="af-ZA"/>
        </w:rPr>
        <w:t>s</w:t>
      </w:r>
      <w:r w:rsidR="00A42E86" w:rsidRPr="005D3C4B">
        <w:rPr>
          <w:rFonts w:ascii="Arial Narrow" w:eastAsia="Calibri" w:hAnsi="Arial Narrow" w:cs="Times New Roman"/>
          <w:sz w:val="24"/>
          <w:szCs w:val="24"/>
          <w:lang w:val="af-ZA"/>
        </w:rPr>
        <w:t xml:space="preserve"> delineate roles and responsibilities of each party including setting up Project Steering Committees (PSC) to oversee the management of the projects and adherence to contractual obligations including project duration and timeframes for delivery.  </w:t>
      </w:r>
      <w:r w:rsidR="00806166" w:rsidRPr="005D3C4B">
        <w:rPr>
          <w:rFonts w:ascii="Arial Narrow" w:eastAsia="Calibri" w:hAnsi="Arial Narrow" w:cs="Times New Roman"/>
          <w:sz w:val="24"/>
          <w:szCs w:val="24"/>
          <w:lang w:val="af-ZA"/>
        </w:rPr>
        <w:t>Most importantly the the PSC provides consistent support and monitor progress throughout the implementation phases of the project/s.</w:t>
      </w:r>
    </w:p>
    <w:p w:rsidR="00504917" w:rsidRPr="00702B63" w:rsidRDefault="00512F0C" w:rsidP="00781325">
      <w:pPr>
        <w:pBdr>
          <w:top w:val="nil"/>
          <w:left w:val="nil"/>
          <w:bottom w:val="nil"/>
          <w:right w:val="nil"/>
          <w:between w:val="nil"/>
          <w:bar w:val="nil"/>
        </w:pBdr>
        <w:tabs>
          <w:tab w:val="left" w:pos="567"/>
        </w:tabs>
        <w:spacing w:after="0" w:line="360" w:lineRule="auto"/>
        <w:jc w:val="both"/>
        <w:rPr>
          <w:rFonts w:ascii="Arial Narrow" w:eastAsia="Calibri" w:hAnsi="Arial Narrow" w:cs="Times New Roman"/>
          <w:sz w:val="24"/>
          <w:szCs w:val="24"/>
          <w:lang w:val="af-ZA"/>
        </w:rPr>
      </w:pPr>
      <w:r w:rsidRPr="00702B63">
        <w:rPr>
          <w:rFonts w:ascii="Arial Narrow" w:eastAsia="Calibri" w:hAnsi="Arial Narrow" w:cs="Times New Roman"/>
          <w:sz w:val="24"/>
          <w:szCs w:val="24"/>
          <w:lang w:val="af-ZA"/>
        </w:rPr>
        <w:tab/>
      </w: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sectPr w:rsidR="00504917"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67" w:rsidRDefault="00BD1867">
      <w:pPr>
        <w:spacing w:after="0" w:line="240" w:lineRule="auto"/>
      </w:pPr>
      <w:r>
        <w:separator/>
      </w:r>
    </w:p>
  </w:endnote>
  <w:endnote w:type="continuationSeparator" w:id="1">
    <w:p w:rsidR="00BD1867" w:rsidRDefault="00BD1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702B63" w:rsidP="002F279D">
        <w:pPr>
          <w:pStyle w:val="Footer"/>
          <w:tabs>
            <w:tab w:val="clear" w:pos="4513"/>
            <w:tab w:val="center" w:pos="5103"/>
          </w:tabs>
          <w:jc w:val="right"/>
          <w:rPr>
            <w:rFonts w:ascii="Arial Narrow" w:hAnsi="Arial Narrow"/>
          </w:rPr>
        </w:pPr>
        <w:r>
          <w:rPr>
            <w:rFonts w:ascii="Arial Narrow" w:hAnsi="Arial Narrow"/>
            <w:sz w:val="18"/>
            <w:szCs w:val="18"/>
          </w:rPr>
          <w:t>1912</w:t>
        </w:r>
        <w:r w:rsidR="00504917" w:rsidRPr="00504917">
          <w:rPr>
            <w:rFonts w:ascii="Arial Narrow" w:hAnsi="Arial Narrow"/>
            <w:sz w:val="18"/>
            <w:szCs w:val="18"/>
          </w:rPr>
          <w:t xml:space="preserve"> (NW</w:t>
        </w:r>
        <w:r w:rsidR="009A0955">
          <w:rPr>
            <w:rFonts w:ascii="Arial Narrow" w:hAnsi="Arial Narrow"/>
            <w:sz w:val="18"/>
            <w:szCs w:val="18"/>
          </w:rPr>
          <w:t>2</w:t>
        </w:r>
        <w:r w:rsidR="000A2C34">
          <w:rPr>
            <w:rFonts w:ascii="Arial Narrow" w:hAnsi="Arial Narrow"/>
            <w:sz w:val="18"/>
            <w:szCs w:val="18"/>
          </w:rPr>
          <w:t>42</w:t>
        </w:r>
        <w:r>
          <w:rPr>
            <w:rFonts w:ascii="Arial Narrow" w:hAnsi="Arial Narrow"/>
            <w:sz w:val="18"/>
            <w:szCs w:val="18"/>
          </w:rPr>
          <w:t>7</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756BC9" w:rsidRPr="00013AC6">
          <w:rPr>
            <w:rFonts w:ascii="Arial Narrow" w:hAnsi="Arial Narrow"/>
          </w:rPr>
          <w:fldChar w:fldCharType="begin"/>
        </w:r>
        <w:r w:rsidR="00013AC6" w:rsidRPr="00013AC6">
          <w:rPr>
            <w:rFonts w:ascii="Arial Narrow" w:hAnsi="Arial Narrow"/>
          </w:rPr>
          <w:instrText xml:space="preserve"> PAGE   \* MERGEFORMAT </w:instrText>
        </w:r>
        <w:r w:rsidR="00756BC9" w:rsidRPr="00013AC6">
          <w:rPr>
            <w:rFonts w:ascii="Arial Narrow" w:hAnsi="Arial Narrow"/>
          </w:rPr>
          <w:fldChar w:fldCharType="separate"/>
        </w:r>
        <w:r w:rsidR="00F83F14">
          <w:rPr>
            <w:rFonts w:ascii="Arial Narrow" w:hAnsi="Arial Narrow"/>
            <w:noProof/>
          </w:rPr>
          <w:t>2</w:t>
        </w:r>
        <w:r w:rsidR="00756BC9" w:rsidRPr="00013AC6">
          <w:rPr>
            <w:rFonts w:ascii="Arial Narrow" w:hAnsi="Arial Narrow"/>
            <w:noProof/>
          </w:rPr>
          <w:fldChar w:fldCharType="end"/>
        </w:r>
      </w:p>
    </w:sdtContent>
  </w:sdt>
  <w:p w:rsidR="00C0184E" w:rsidRPr="00013AC6" w:rsidRDefault="00BD1867"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BD1867">
    <w:pPr>
      <w:pStyle w:val="Footer"/>
      <w:jc w:val="right"/>
    </w:pPr>
  </w:p>
  <w:p w:rsidR="001656DE" w:rsidRPr="006016C0" w:rsidRDefault="00D100A6" w:rsidP="006016C0">
    <w:pPr>
      <w:pStyle w:val="HeaderFooter"/>
      <w:jc w:val="center"/>
      <w:rPr>
        <w:rFonts w:ascii="Arial Narrow" w:hAnsi="Arial Narrow"/>
        <w:sz w:val="18"/>
        <w:szCs w:val="18"/>
      </w:rPr>
    </w:pPr>
    <w:r>
      <w:rPr>
        <w:rFonts w:ascii="Arial Narrow" w:hAnsi="Arial Narrow"/>
        <w:sz w:val="18"/>
        <w:szCs w:val="18"/>
      </w:rPr>
      <w:t>1</w:t>
    </w:r>
    <w:r w:rsidR="00702B63">
      <w:rPr>
        <w:rFonts w:ascii="Arial Narrow" w:hAnsi="Arial Narrow"/>
        <w:sz w:val="18"/>
        <w:szCs w:val="18"/>
      </w:rPr>
      <w:t>912</w:t>
    </w:r>
    <w:r>
      <w:rPr>
        <w:rFonts w:ascii="Arial Narrow" w:hAnsi="Arial Narrow"/>
        <w:sz w:val="18"/>
        <w:szCs w:val="18"/>
      </w:rPr>
      <w:t xml:space="preserve"> (NW</w:t>
    </w:r>
    <w:r w:rsidR="003F7DAF">
      <w:rPr>
        <w:rFonts w:ascii="Arial Narrow" w:hAnsi="Arial Narrow"/>
        <w:sz w:val="18"/>
        <w:szCs w:val="18"/>
      </w:rPr>
      <w:t>2</w:t>
    </w:r>
    <w:r w:rsidR="00702B63">
      <w:rPr>
        <w:rFonts w:ascii="Arial Narrow" w:hAnsi="Arial Narrow"/>
        <w:sz w:val="18"/>
        <w:szCs w:val="18"/>
      </w:rPr>
      <w:t>427</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67" w:rsidRDefault="00BD1867">
      <w:pPr>
        <w:spacing w:after="0" w:line="240" w:lineRule="auto"/>
      </w:pPr>
      <w:r>
        <w:separator/>
      </w:r>
    </w:p>
  </w:footnote>
  <w:footnote w:type="continuationSeparator" w:id="1">
    <w:p w:rsidR="00BD1867" w:rsidRDefault="00BD1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3E71B64"/>
    <w:multiLevelType w:val="hybridMultilevel"/>
    <w:tmpl w:val="CF709568"/>
    <w:lvl w:ilvl="0" w:tplc="4ACAA9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D46FE2"/>
    <w:multiLevelType w:val="hybridMultilevel"/>
    <w:tmpl w:val="40CAF862"/>
    <w:lvl w:ilvl="0" w:tplc="234A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CDC3165"/>
    <w:multiLevelType w:val="hybridMultilevel"/>
    <w:tmpl w:val="368E2DE0"/>
    <w:lvl w:ilvl="0" w:tplc="A1C0E3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E64AA4"/>
    <w:multiLevelType w:val="hybridMultilevel"/>
    <w:tmpl w:val="3D96F08E"/>
    <w:lvl w:ilvl="0" w:tplc="A9BADAE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26">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6"/>
  </w:num>
  <w:num w:numId="3">
    <w:abstractNumId w:val="5"/>
  </w:num>
  <w:num w:numId="4">
    <w:abstractNumId w:val="7"/>
  </w:num>
  <w:num w:numId="5">
    <w:abstractNumId w:val="1"/>
  </w:num>
  <w:num w:numId="6">
    <w:abstractNumId w:val="18"/>
  </w:num>
  <w:num w:numId="7">
    <w:abstractNumId w:val="4"/>
  </w:num>
  <w:num w:numId="8">
    <w:abstractNumId w:val="2"/>
  </w:num>
  <w:num w:numId="9">
    <w:abstractNumId w:val="22"/>
  </w:num>
  <w:num w:numId="10">
    <w:abstractNumId w:val="14"/>
  </w:num>
  <w:num w:numId="11">
    <w:abstractNumId w:val="21"/>
  </w:num>
  <w:num w:numId="12">
    <w:abstractNumId w:val="25"/>
  </w:num>
  <w:num w:numId="13">
    <w:abstractNumId w:val="16"/>
  </w:num>
  <w:num w:numId="14">
    <w:abstractNumId w:val="3"/>
  </w:num>
  <w:num w:numId="15">
    <w:abstractNumId w:val="9"/>
  </w:num>
  <w:num w:numId="16">
    <w:abstractNumId w:val="13"/>
  </w:num>
  <w:num w:numId="17">
    <w:abstractNumId w:val="8"/>
  </w:num>
  <w:num w:numId="18">
    <w:abstractNumId w:val="11"/>
  </w:num>
  <w:num w:numId="19">
    <w:abstractNumId w:val="12"/>
  </w:num>
  <w:num w:numId="20">
    <w:abstractNumId w:val="20"/>
  </w:num>
  <w:num w:numId="21">
    <w:abstractNumId w:val="10"/>
  </w:num>
  <w:num w:numId="22">
    <w:abstractNumId w:val="19"/>
  </w:num>
  <w:num w:numId="23">
    <w:abstractNumId w:val="17"/>
  </w:num>
  <w:num w:numId="24">
    <w:abstractNumId w:val="15"/>
  </w:num>
  <w:num w:numId="25">
    <w:abstractNumId w:val="24"/>
  </w:num>
  <w:num w:numId="26">
    <w:abstractNumId w:val="2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7E0"/>
    <w:rsid w:val="00013AC6"/>
    <w:rsid w:val="00070783"/>
    <w:rsid w:val="000A2C34"/>
    <w:rsid w:val="000C3341"/>
    <w:rsid w:val="000C44F3"/>
    <w:rsid w:val="000C51A5"/>
    <w:rsid w:val="001455FD"/>
    <w:rsid w:val="0014702E"/>
    <w:rsid w:val="001839A9"/>
    <w:rsid w:val="001C23E9"/>
    <w:rsid w:val="001C5D48"/>
    <w:rsid w:val="001E58B5"/>
    <w:rsid w:val="002E24A9"/>
    <w:rsid w:val="002F279D"/>
    <w:rsid w:val="002F397B"/>
    <w:rsid w:val="003111B9"/>
    <w:rsid w:val="003334EC"/>
    <w:rsid w:val="003766B1"/>
    <w:rsid w:val="0038039F"/>
    <w:rsid w:val="003B3928"/>
    <w:rsid w:val="003C5683"/>
    <w:rsid w:val="003F7DAF"/>
    <w:rsid w:val="00471ABE"/>
    <w:rsid w:val="0047408B"/>
    <w:rsid w:val="004B2C2E"/>
    <w:rsid w:val="004D02F7"/>
    <w:rsid w:val="004E14FE"/>
    <w:rsid w:val="00504917"/>
    <w:rsid w:val="00512F0C"/>
    <w:rsid w:val="00545830"/>
    <w:rsid w:val="005C13B9"/>
    <w:rsid w:val="005C36B5"/>
    <w:rsid w:val="005D3C4B"/>
    <w:rsid w:val="006016C0"/>
    <w:rsid w:val="00627B0B"/>
    <w:rsid w:val="00632E4F"/>
    <w:rsid w:val="006333D4"/>
    <w:rsid w:val="00655403"/>
    <w:rsid w:val="006B0355"/>
    <w:rsid w:val="006B0B1B"/>
    <w:rsid w:val="006B135F"/>
    <w:rsid w:val="006C22EF"/>
    <w:rsid w:val="00702B63"/>
    <w:rsid w:val="0072556C"/>
    <w:rsid w:val="00756BC9"/>
    <w:rsid w:val="00781325"/>
    <w:rsid w:val="007877AC"/>
    <w:rsid w:val="007A55E7"/>
    <w:rsid w:val="007A5A15"/>
    <w:rsid w:val="007F5766"/>
    <w:rsid w:val="00806166"/>
    <w:rsid w:val="00852981"/>
    <w:rsid w:val="008618BD"/>
    <w:rsid w:val="00884226"/>
    <w:rsid w:val="008A6938"/>
    <w:rsid w:val="008A7A9A"/>
    <w:rsid w:val="008B0B46"/>
    <w:rsid w:val="008B55A3"/>
    <w:rsid w:val="008E73A3"/>
    <w:rsid w:val="0091328D"/>
    <w:rsid w:val="00940CDA"/>
    <w:rsid w:val="0094185D"/>
    <w:rsid w:val="00972BD7"/>
    <w:rsid w:val="00975E93"/>
    <w:rsid w:val="009A0955"/>
    <w:rsid w:val="009A58D0"/>
    <w:rsid w:val="009C6EBB"/>
    <w:rsid w:val="009D2501"/>
    <w:rsid w:val="009F7417"/>
    <w:rsid w:val="00A42E86"/>
    <w:rsid w:val="00A76D97"/>
    <w:rsid w:val="00AA36A1"/>
    <w:rsid w:val="00AB041D"/>
    <w:rsid w:val="00AD2AEF"/>
    <w:rsid w:val="00AE3390"/>
    <w:rsid w:val="00B115A7"/>
    <w:rsid w:val="00B12CA0"/>
    <w:rsid w:val="00B26EE3"/>
    <w:rsid w:val="00B71DB5"/>
    <w:rsid w:val="00B95E55"/>
    <w:rsid w:val="00BC5862"/>
    <w:rsid w:val="00BD1867"/>
    <w:rsid w:val="00BD715D"/>
    <w:rsid w:val="00C14944"/>
    <w:rsid w:val="00C53066"/>
    <w:rsid w:val="00C53330"/>
    <w:rsid w:val="00CA1433"/>
    <w:rsid w:val="00CD4D2F"/>
    <w:rsid w:val="00D021EC"/>
    <w:rsid w:val="00D100A6"/>
    <w:rsid w:val="00D27D2D"/>
    <w:rsid w:val="00D47F8D"/>
    <w:rsid w:val="00D73B91"/>
    <w:rsid w:val="00DA6AB1"/>
    <w:rsid w:val="00DC2F7B"/>
    <w:rsid w:val="00DC60A2"/>
    <w:rsid w:val="00DD7716"/>
    <w:rsid w:val="00E33F8A"/>
    <w:rsid w:val="00E4192C"/>
    <w:rsid w:val="00E47924"/>
    <w:rsid w:val="00E54B68"/>
    <w:rsid w:val="00E94463"/>
    <w:rsid w:val="00EB0EA2"/>
    <w:rsid w:val="00EF0544"/>
    <w:rsid w:val="00EF3CC2"/>
    <w:rsid w:val="00F1693A"/>
    <w:rsid w:val="00F4258D"/>
    <w:rsid w:val="00F73FD0"/>
    <w:rsid w:val="00F83F14"/>
    <w:rsid w:val="00FC4B41"/>
    <w:rsid w:val="00FC5E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02D1-091E-4543-AFEE-D1428AA9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2020-08-26T07:53:00Z</cp:lastPrinted>
  <dcterms:created xsi:type="dcterms:W3CDTF">2020-09-10T17:50:00Z</dcterms:created>
  <dcterms:modified xsi:type="dcterms:W3CDTF">2020-09-10T17:50:00Z</dcterms:modified>
</cp:coreProperties>
</file>