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8776C5" w14:textId="77777777" w:rsidR="00C3677B" w:rsidRDefault="00CE323E" w:rsidP="003D7858">
      <w:pPr>
        <w:jc w:val="center"/>
      </w:pPr>
      <w:bookmarkStart w:id="0" w:name="_GoBack"/>
      <w:bookmarkEnd w:id="0"/>
      <w:r>
        <w:rPr>
          <w:noProof/>
          <w:lang w:val="en-US"/>
        </w:rPr>
        <w:drawing>
          <wp:inline distT="0" distB="0" distL="0" distR="0" wp14:anchorId="570A624B" wp14:editId="4469C1DE">
            <wp:extent cx="2428875" cy="1590675"/>
            <wp:effectExtent l="19050" t="0" r="9525" b="9525"/>
            <wp:docPr id="1" name="Picture 1" descr="Press, Higher Ministry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 Higher Ministry Logo copy.jpg"/>
                    <pic:cNvPicPr>
                      <a:picLocks noChangeAspect="1" noChangeArrowheads="1"/>
                    </pic:cNvPicPr>
                  </pic:nvPicPr>
                  <pic:blipFill>
                    <a:blip r:embed="rId6"/>
                    <a:srcRect/>
                    <a:stretch>
                      <a:fillRect/>
                    </a:stretch>
                  </pic:blipFill>
                  <pic:spPr bwMode="auto">
                    <a:xfrm>
                      <a:off x="0" y="0"/>
                      <a:ext cx="2428875" cy="1590675"/>
                    </a:xfrm>
                    <a:prstGeom prst="rect">
                      <a:avLst/>
                    </a:prstGeom>
                    <a:noFill/>
                    <a:ln w="9525">
                      <a:noFill/>
                      <a:miter lim="800000"/>
                      <a:headEnd/>
                      <a:tailEnd/>
                    </a:ln>
                  </pic:spPr>
                </pic:pic>
              </a:graphicData>
            </a:graphic>
          </wp:inline>
        </w:drawing>
      </w:r>
    </w:p>
    <w:p w14:paraId="2CE406B6" w14:textId="77777777" w:rsidR="00C3677B" w:rsidRPr="00740B88" w:rsidRDefault="00C3677B" w:rsidP="006B132D">
      <w:pPr>
        <w:spacing w:line="240" w:lineRule="auto"/>
        <w:jc w:val="center"/>
        <w:rPr>
          <w:rFonts w:ascii="Arial" w:hAnsi="Arial" w:cs="Arial"/>
          <w:sz w:val="16"/>
          <w:szCs w:val="16"/>
        </w:rPr>
      </w:pPr>
      <w:r w:rsidRPr="00740B88">
        <w:rPr>
          <w:rFonts w:ascii="Arial" w:hAnsi="Arial" w:cs="Arial"/>
          <w:sz w:val="16"/>
          <w:szCs w:val="16"/>
        </w:rPr>
        <w:t>Private Bag X</w:t>
      </w:r>
      <w:r>
        <w:rPr>
          <w:rFonts w:ascii="Arial" w:hAnsi="Arial" w:cs="Arial"/>
          <w:sz w:val="16"/>
          <w:szCs w:val="16"/>
        </w:rPr>
        <w:t>89</w:t>
      </w:r>
      <w:r w:rsidRPr="00740B88">
        <w:rPr>
          <w:rFonts w:ascii="Arial" w:hAnsi="Arial" w:cs="Arial"/>
          <w:sz w:val="16"/>
          <w:szCs w:val="16"/>
        </w:rPr>
        <w:t xml:space="preserve">3, Pretoria, 0001, Tel (012) </w:t>
      </w:r>
      <w:r>
        <w:rPr>
          <w:rFonts w:ascii="Arial" w:hAnsi="Arial" w:cs="Arial"/>
          <w:sz w:val="16"/>
          <w:szCs w:val="16"/>
        </w:rPr>
        <w:t>312</w:t>
      </w:r>
      <w:r w:rsidRPr="00740B88">
        <w:rPr>
          <w:rFonts w:ascii="Arial" w:hAnsi="Arial" w:cs="Arial"/>
          <w:sz w:val="16"/>
          <w:szCs w:val="16"/>
        </w:rPr>
        <w:t xml:space="preserve"> 55</w:t>
      </w:r>
      <w:r>
        <w:rPr>
          <w:rFonts w:ascii="Arial" w:hAnsi="Arial" w:cs="Arial"/>
          <w:sz w:val="16"/>
          <w:szCs w:val="16"/>
        </w:rPr>
        <w:t>55</w:t>
      </w:r>
      <w:r w:rsidRPr="00740B88">
        <w:rPr>
          <w:rFonts w:ascii="Arial" w:hAnsi="Arial" w:cs="Arial"/>
          <w:sz w:val="16"/>
          <w:szCs w:val="16"/>
        </w:rPr>
        <w:t xml:space="preserve">, Fax (012) </w:t>
      </w:r>
      <w:r>
        <w:rPr>
          <w:rFonts w:ascii="Arial" w:hAnsi="Arial" w:cs="Arial"/>
          <w:sz w:val="16"/>
          <w:szCs w:val="16"/>
        </w:rPr>
        <w:t>323</w:t>
      </w:r>
      <w:r w:rsidRPr="00740B88">
        <w:rPr>
          <w:rFonts w:ascii="Arial" w:hAnsi="Arial" w:cs="Arial"/>
          <w:sz w:val="16"/>
          <w:szCs w:val="16"/>
        </w:rPr>
        <w:t xml:space="preserve"> </w:t>
      </w:r>
      <w:r>
        <w:rPr>
          <w:rFonts w:ascii="Arial" w:hAnsi="Arial" w:cs="Arial"/>
          <w:sz w:val="16"/>
          <w:szCs w:val="16"/>
        </w:rPr>
        <w:t>5618</w:t>
      </w:r>
    </w:p>
    <w:p w14:paraId="42E22EDC" w14:textId="77777777" w:rsidR="006B438D" w:rsidRDefault="00C3677B" w:rsidP="006B132D">
      <w:pPr>
        <w:spacing w:line="240" w:lineRule="auto"/>
        <w:jc w:val="center"/>
        <w:rPr>
          <w:rFonts w:ascii="Arial" w:hAnsi="Arial" w:cs="Arial"/>
          <w:sz w:val="16"/>
          <w:szCs w:val="16"/>
        </w:rPr>
      </w:pPr>
      <w:r w:rsidRPr="00740B88">
        <w:rPr>
          <w:rFonts w:ascii="Arial" w:hAnsi="Arial" w:cs="Arial"/>
          <w:sz w:val="16"/>
          <w:szCs w:val="16"/>
        </w:rPr>
        <w:t>Private Bag X9</w:t>
      </w:r>
      <w:r>
        <w:rPr>
          <w:rFonts w:ascii="Arial" w:hAnsi="Arial" w:cs="Arial"/>
          <w:sz w:val="16"/>
          <w:szCs w:val="16"/>
        </w:rPr>
        <w:t>1</w:t>
      </w:r>
      <w:r w:rsidRPr="00740B88">
        <w:rPr>
          <w:rFonts w:ascii="Arial" w:hAnsi="Arial" w:cs="Arial"/>
          <w:sz w:val="16"/>
          <w:szCs w:val="16"/>
        </w:rPr>
        <w:t>9</w:t>
      </w:r>
      <w:r>
        <w:rPr>
          <w:rFonts w:ascii="Arial" w:hAnsi="Arial" w:cs="Arial"/>
          <w:sz w:val="16"/>
          <w:szCs w:val="16"/>
        </w:rPr>
        <w:t>2</w:t>
      </w:r>
      <w:r w:rsidRPr="00740B88">
        <w:rPr>
          <w:rFonts w:ascii="Arial" w:hAnsi="Arial" w:cs="Arial"/>
          <w:sz w:val="16"/>
          <w:szCs w:val="16"/>
        </w:rPr>
        <w:t>, Cape Town, 8000, Tel (021) 46</w:t>
      </w:r>
      <w:r w:rsidR="00EA2661">
        <w:rPr>
          <w:rFonts w:ascii="Arial" w:hAnsi="Arial" w:cs="Arial"/>
          <w:sz w:val="16"/>
          <w:szCs w:val="16"/>
        </w:rPr>
        <w:t>9</w:t>
      </w:r>
      <w:r>
        <w:rPr>
          <w:rFonts w:ascii="Arial" w:hAnsi="Arial" w:cs="Arial"/>
          <w:sz w:val="16"/>
          <w:szCs w:val="16"/>
        </w:rPr>
        <w:t xml:space="preserve"> 5</w:t>
      </w:r>
      <w:r w:rsidR="00EA2661">
        <w:rPr>
          <w:rFonts w:ascii="Arial" w:hAnsi="Arial" w:cs="Arial"/>
          <w:sz w:val="16"/>
          <w:szCs w:val="16"/>
        </w:rPr>
        <w:t>150</w:t>
      </w:r>
      <w:r>
        <w:rPr>
          <w:rFonts w:ascii="Arial" w:hAnsi="Arial" w:cs="Arial"/>
          <w:sz w:val="16"/>
          <w:szCs w:val="16"/>
        </w:rPr>
        <w:t>, Fax: (021) 465</w:t>
      </w:r>
      <w:r w:rsidRPr="00740B88">
        <w:rPr>
          <w:rFonts w:ascii="Arial" w:hAnsi="Arial" w:cs="Arial"/>
          <w:sz w:val="16"/>
          <w:szCs w:val="16"/>
        </w:rPr>
        <w:t xml:space="preserve"> </w:t>
      </w:r>
      <w:r>
        <w:rPr>
          <w:rFonts w:ascii="Arial" w:hAnsi="Arial" w:cs="Arial"/>
          <w:sz w:val="16"/>
          <w:szCs w:val="16"/>
        </w:rPr>
        <w:t>7956</w:t>
      </w:r>
    </w:p>
    <w:p w14:paraId="7A2C9758" w14:textId="77777777" w:rsidR="00C3677B" w:rsidRPr="003C5A76" w:rsidRDefault="00C3677B" w:rsidP="007141FA">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lang w:val="en-ZA"/>
        </w:rPr>
      </w:pPr>
      <w:r w:rsidRPr="00E67736">
        <w:rPr>
          <w:rFonts w:cs="Arial"/>
          <w:b/>
          <w:bCs/>
          <w:sz w:val="24"/>
          <w:szCs w:val="24"/>
          <w:lang w:val="en-ZA"/>
        </w:rPr>
        <w:tab/>
      </w:r>
      <w:r w:rsidRPr="003C5A76">
        <w:rPr>
          <w:rFonts w:ascii="Arial" w:hAnsi="Arial" w:cs="Arial"/>
          <w:b/>
          <w:bCs/>
          <w:lang w:val="en-ZA"/>
        </w:rPr>
        <w:t>Memorandum from the Parliamentary Office</w:t>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p>
    <w:p w14:paraId="1BB6FA9D" w14:textId="77777777" w:rsidR="00C3677B" w:rsidRPr="003C5A76" w:rsidRDefault="00D95878" w:rsidP="00DD6D16">
      <w:pPr>
        <w:jc w:val="center"/>
        <w:rPr>
          <w:rFonts w:ascii="Arial" w:hAnsi="Arial" w:cs="Arial"/>
          <w:b/>
          <w:bCs/>
        </w:rPr>
      </w:pPr>
      <w:r>
        <w:rPr>
          <w:rFonts w:ascii="Arial" w:hAnsi="Arial" w:cs="Arial"/>
          <w:b/>
          <w:bCs/>
          <w:lang w:val="en-ZA"/>
        </w:rPr>
        <w:t xml:space="preserve">NATIONAL </w:t>
      </w:r>
      <w:r w:rsidR="00F177A6">
        <w:rPr>
          <w:rFonts w:ascii="Arial" w:hAnsi="Arial" w:cs="Arial"/>
          <w:b/>
          <w:bCs/>
          <w:lang w:val="en-ZA"/>
        </w:rPr>
        <w:t>ASSEMBLY</w:t>
      </w:r>
    </w:p>
    <w:p w14:paraId="55B92563" w14:textId="77777777" w:rsidR="00C3677B" w:rsidRPr="003C5A76" w:rsidRDefault="00C3677B" w:rsidP="00DD6D16">
      <w:pPr>
        <w:jc w:val="center"/>
        <w:rPr>
          <w:rFonts w:ascii="Arial" w:hAnsi="Arial" w:cs="Arial"/>
          <w:b/>
          <w:bCs/>
        </w:rPr>
      </w:pPr>
      <w:r w:rsidRPr="003C5A76">
        <w:rPr>
          <w:rFonts w:ascii="Arial" w:hAnsi="Arial" w:cs="Arial"/>
          <w:b/>
          <w:bCs/>
        </w:rPr>
        <w:t xml:space="preserve">FOR </w:t>
      </w:r>
      <w:r w:rsidR="00AA246C">
        <w:rPr>
          <w:rFonts w:ascii="Arial" w:hAnsi="Arial" w:cs="Arial"/>
          <w:b/>
          <w:bCs/>
        </w:rPr>
        <w:t>WRITTEN</w:t>
      </w:r>
      <w:r w:rsidRPr="003C5A76">
        <w:rPr>
          <w:rFonts w:ascii="Arial" w:hAnsi="Arial" w:cs="Arial"/>
          <w:b/>
          <w:bCs/>
        </w:rPr>
        <w:t xml:space="preserve"> REPLY</w:t>
      </w:r>
    </w:p>
    <w:p w14:paraId="3ADC2453" w14:textId="77777777" w:rsidR="00C3677B" w:rsidRPr="003C5A76" w:rsidRDefault="00C654A2" w:rsidP="00DD6D16">
      <w:pPr>
        <w:jc w:val="center"/>
        <w:rPr>
          <w:rFonts w:ascii="Arial" w:hAnsi="Arial" w:cs="Arial"/>
          <w:b/>
          <w:bCs/>
        </w:rPr>
      </w:pPr>
      <w:r w:rsidRPr="003C5A76">
        <w:rPr>
          <w:rFonts w:ascii="Arial" w:hAnsi="Arial" w:cs="Arial"/>
          <w:b/>
          <w:bCs/>
        </w:rPr>
        <w:t xml:space="preserve">QUESTION </w:t>
      </w:r>
      <w:r w:rsidR="00170F48">
        <w:rPr>
          <w:rFonts w:ascii="Arial" w:hAnsi="Arial" w:cs="Arial"/>
          <w:b/>
          <w:bCs/>
        </w:rPr>
        <w:t>1911</w:t>
      </w:r>
    </w:p>
    <w:p w14:paraId="2A6A6A6E" w14:textId="77777777" w:rsidR="00C3677B" w:rsidRPr="003C5A76" w:rsidRDefault="00C3677B" w:rsidP="00DD6D16">
      <w:pPr>
        <w:jc w:val="center"/>
        <w:rPr>
          <w:rFonts w:ascii="Arial" w:hAnsi="Arial" w:cs="Arial"/>
          <w:b/>
          <w:bCs/>
          <w:u w:val="single"/>
        </w:rPr>
      </w:pPr>
      <w:r w:rsidRPr="003C5A76">
        <w:rPr>
          <w:rFonts w:ascii="Arial" w:hAnsi="Arial" w:cs="Arial"/>
          <w:b/>
          <w:bCs/>
          <w:u w:val="single"/>
        </w:rPr>
        <w:t>DATE OF PUBLICATIO</w:t>
      </w:r>
      <w:r w:rsidR="009B0E09" w:rsidRPr="003C5A76">
        <w:rPr>
          <w:rFonts w:ascii="Arial" w:hAnsi="Arial" w:cs="Arial"/>
          <w:b/>
          <w:bCs/>
          <w:u w:val="single"/>
        </w:rPr>
        <w:t xml:space="preserve">N OF INTERNAL QUESTION PAPER: </w:t>
      </w:r>
      <w:r w:rsidR="00944E86">
        <w:rPr>
          <w:rFonts w:ascii="Arial" w:hAnsi="Arial" w:cs="Arial"/>
          <w:b/>
          <w:bCs/>
          <w:u w:val="single"/>
        </w:rPr>
        <w:t>23</w:t>
      </w:r>
      <w:r w:rsidR="00E103E5">
        <w:rPr>
          <w:rFonts w:ascii="Arial" w:hAnsi="Arial" w:cs="Arial"/>
          <w:b/>
          <w:bCs/>
          <w:u w:val="single"/>
        </w:rPr>
        <w:t>/</w:t>
      </w:r>
      <w:r w:rsidR="00FC7A05">
        <w:rPr>
          <w:rFonts w:ascii="Arial" w:hAnsi="Arial" w:cs="Arial"/>
          <w:b/>
          <w:bCs/>
          <w:u w:val="single"/>
        </w:rPr>
        <w:t>06</w:t>
      </w:r>
      <w:r w:rsidR="00F73D24">
        <w:rPr>
          <w:rFonts w:ascii="Arial" w:hAnsi="Arial" w:cs="Arial"/>
          <w:b/>
          <w:bCs/>
          <w:u w:val="single"/>
        </w:rPr>
        <w:t>/201</w:t>
      </w:r>
      <w:r w:rsidR="007B1D95">
        <w:rPr>
          <w:rFonts w:ascii="Arial" w:hAnsi="Arial" w:cs="Arial"/>
          <w:b/>
          <w:bCs/>
          <w:u w:val="single"/>
        </w:rPr>
        <w:t>7</w:t>
      </w:r>
    </w:p>
    <w:p w14:paraId="4F81D57A" w14:textId="77777777" w:rsidR="00F177A6" w:rsidRDefault="009B0E09" w:rsidP="00491C5B">
      <w:pPr>
        <w:spacing w:before="100" w:beforeAutospacing="1" w:after="100" w:afterAutospacing="1"/>
        <w:jc w:val="center"/>
        <w:outlineLvl w:val="0"/>
        <w:rPr>
          <w:rFonts w:ascii="Arial" w:hAnsi="Arial" w:cs="Arial"/>
          <w:b/>
          <w:bCs/>
          <w:u w:val="single"/>
        </w:rPr>
      </w:pPr>
      <w:r w:rsidRPr="003C5A76">
        <w:rPr>
          <w:rFonts w:ascii="Arial" w:hAnsi="Arial" w:cs="Arial"/>
          <w:b/>
          <w:bCs/>
          <w:u w:val="single"/>
        </w:rPr>
        <w:t xml:space="preserve">(INTERNAL QUESTION PAPER </w:t>
      </w:r>
      <w:r w:rsidR="00944E86">
        <w:rPr>
          <w:rFonts w:ascii="Arial" w:hAnsi="Arial" w:cs="Arial"/>
          <w:b/>
          <w:bCs/>
          <w:u w:val="single"/>
        </w:rPr>
        <w:t>23</w:t>
      </w:r>
      <w:r w:rsidR="008A5D41">
        <w:rPr>
          <w:rFonts w:ascii="Arial" w:hAnsi="Arial" w:cs="Arial"/>
          <w:b/>
          <w:bCs/>
          <w:u w:val="single"/>
        </w:rPr>
        <w:t xml:space="preserve"> </w:t>
      </w:r>
      <w:r w:rsidR="00F73D24">
        <w:rPr>
          <w:rFonts w:ascii="Arial" w:hAnsi="Arial" w:cs="Arial"/>
          <w:b/>
          <w:bCs/>
          <w:u w:val="single"/>
        </w:rPr>
        <w:t>OF 201</w:t>
      </w:r>
      <w:r w:rsidR="007B1D95">
        <w:rPr>
          <w:rFonts w:ascii="Arial" w:hAnsi="Arial" w:cs="Arial"/>
          <w:b/>
          <w:bCs/>
          <w:u w:val="single"/>
        </w:rPr>
        <w:t>7</w:t>
      </w:r>
      <w:r w:rsidR="00E02103" w:rsidRPr="003C5A76">
        <w:rPr>
          <w:rFonts w:ascii="Arial" w:hAnsi="Arial" w:cs="Arial"/>
          <w:b/>
          <w:bCs/>
          <w:u w:val="single"/>
        </w:rPr>
        <w:t>)</w:t>
      </w:r>
    </w:p>
    <w:p w14:paraId="47858338" w14:textId="77777777" w:rsidR="00170F48" w:rsidRPr="00594A3F" w:rsidRDefault="00170F48" w:rsidP="00594A3F">
      <w:pPr>
        <w:spacing w:line="360" w:lineRule="auto"/>
        <w:ind w:left="816" w:hanging="816"/>
        <w:jc w:val="both"/>
        <w:rPr>
          <w:rFonts w:ascii="Arial" w:hAnsi="Arial" w:cs="Arial"/>
          <w:b/>
        </w:rPr>
      </w:pPr>
      <w:r w:rsidRPr="00594A3F">
        <w:rPr>
          <w:rFonts w:ascii="Arial" w:hAnsi="Arial" w:cs="Arial"/>
          <w:b/>
        </w:rPr>
        <w:t xml:space="preserve">Mr A P van der Westhuizen (DA) to ask the Minister of Higher Education and </w:t>
      </w:r>
      <w:r w:rsidRPr="00594A3F">
        <w:rPr>
          <w:rFonts w:ascii="Arial" w:hAnsi="Arial" w:cs="Arial"/>
          <w:b/>
          <w:lang w:val="af-ZA"/>
        </w:rPr>
        <w:t>Training</w:t>
      </w:r>
      <w:r w:rsidRPr="00594A3F">
        <w:rPr>
          <w:rFonts w:ascii="Arial" w:hAnsi="Arial" w:cs="Arial"/>
          <w:b/>
        </w:rPr>
        <w:t>:</w:t>
      </w:r>
    </w:p>
    <w:p w14:paraId="6807E451" w14:textId="77777777" w:rsidR="00170F48" w:rsidRPr="00594A3F" w:rsidRDefault="00170F48" w:rsidP="00594A3F">
      <w:pPr>
        <w:spacing w:line="360" w:lineRule="auto"/>
        <w:ind w:left="450" w:hanging="450"/>
        <w:jc w:val="both"/>
        <w:rPr>
          <w:rFonts w:ascii="Arial" w:hAnsi="Arial" w:cs="Arial"/>
        </w:rPr>
      </w:pPr>
      <w:r w:rsidRPr="00594A3F">
        <w:rPr>
          <w:rFonts w:ascii="Arial" w:hAnsi="Arial" w:cs="Arial"/>
        </w:rPr>
        <w:t>(1)</w:t>
      </w:r>
      <w:r w:rsidRPr="00594A3F">
        <w:rPr>
          <w:rFonts w:ascii="Arial" w:hAnsi="Arial" w:cs="Arial"/>
        </w:rPr>
        <w:tab/>
        <w:t>Whether his department has estimated the extent of the capital budget(s) needed to assist technical and vocational education and training (TVET) colleges in order to (a) renew and maintain equipment and (b) train students for the industry in accordance with the current curricula; if not, why not; if so, what total amount is needed to (i) address any backlogs and (ii) annually replace and/or maintain equipment and other assets needed for training purposes;</w:t>
      </w:r>
    </w:p>
    <w:p w14:paraId="11CEE3A0" w14:textId="77777777" w:rsidR="00170F48" w:rsidRPr="00594A3F" w:rsidRDefault="00170F48" w:rsidP="00594A3F">
      <w:pPr>
        <w:spacing w:line="360" w:lineRule="auto"/>
        <w:ind w:left="450" w:hanging="450"/>
        <w:jc w:val="both"/>
        <w:rPr>
          <w:rFonts w:ascii="Arial" w:hAnsi="Arial" w:cs="Arial"/>
        </w:rPr>
      </w:pPr>
      <w:r w:rsidRPr="00594A3F">
        <w:rPr>
          <w:rFonts w:ascii="Arial" w:hAnsi="Arial" w:cs="Arial"/>
        </w:rPr>
        <w:t>(2)</w:t>
      </w:r>
      <w:r w:rsidRPr="00594A3F">
        <w:rPr>
          <w:rFonts w:ascii="Arial" w:hAnsi="Arial" w:cs="Arial"/>
        </w:rPr>
        <w:tab/>
        <w:t>(a)(i) what percentage and (ii) what amount of the required funds is his department currently making available to TVET colleges and (b) from what year onwards will his department be addressing any backlogs and current needs;</w:t>
      </w:r>
    </w:p>
    <w:p w14:paraId="48FF2FB1" w14:textId="77777777" w:rsidR="00170F48" w:rsidRPr="00594A3F" w:rsidRDefault="00170F48" w:rsidP="00594A3F">
      <w:pPr>
        <w:spacing w:line="360" w:lineRule="auto"/>
        <w:ind w:left="450" w:hanging="450"/>
        <w:jc w:val="both"/>
        <w:rPr>
          <w:rFonts w:ascii="Arial" w:hAnsi="Arial" w:cs="Arial"/>
        </w:rPr>
      </w:pPr>
      <w:r w:rsidRPr="00594A3F">
        <w:rPr>
          <w:rFonts w:ascii="Arial" w:hAnsi="Arial" w:cs="Arial"/>
        </w:rPr>
        <w:t>(3)</w:t>
      </w:r>
      <w:r w:rsidRPr="00594A3F">
        <w:rPr>
          <w:rFonts w:ascii="Arial" w:hAnsi="Arial" w:cs="Arial"/>
        </w:rPr>
        <w:tab/>
        <w:t>(a) will TVET colleges receive infrastructure grants in the future and (b) on what date are they expected to start receiving infrastructure grants?</w:t>
      </w:r>
      <w:r w:rsidRPr="00594A3F">
        <w:rPr>
          <w:rFonts w:ascii="Arial" w:hAnsi="Arial" w:cs="Arial"/>
        </w:rPr>
        <w:tab/>
      </w:r>
    </w:p>
    <w:p w14:paraId="00D5667B" w14:textId="12DB337B" w:rsidR="00170F48" w:rsidRPr="00594A3F" w:rsidRDefault="003C64FA" w:rsidP="003C64FA">
      <w:pPr>
        <w:spacing w:line="360" w:lineRule="auto"/>
        <w:ind w:left="7920"/>
        <w:rPr>
          <w:rFonts w:ascii="Arial" w:hAnsi="Arial" w:cs="Arial"/>
          <w:b/>
          <w:sz w:val="20"/>
        </w:rPr>
      </w:pPr>
      <w:r>
        <w:rPr>
          <w:rFonts w:ascii="Arial" w:hAnsi="Arial" w:cs="Arial"/>
          <w:b/>
          <w:sz w:val="20"/>
        </w:rPr>
        <w:t xml:space="preserve">    </w:t>
      </w:r>
      <w:r w:rsidR="00170F48" w:rsidRPr="00594A3F">
        <w:rPr>
          <w:rFonts w:ascii="Arial" w:hAnsi="Arial" w:cs="Arial"/>
          <w:b/>
          <w:sz w:val="20"/>
        </w:rPr>
        <w:t>NW2123E</w:t>
      </w:r>
    </w:p>
    <w:p w14:paraId="15C9339C" w14:textId="77777777" w:rsidR="00170F48" w:rsidRPr="00594A3F" w:rsidRDefault="00170F48" w:rsidP="00594A3F">
      <w:pPr>
        <w:spacing w:line="360" w:lineRule="auto"/>
        <w:ind w:left="1440" w:hanging="629"/>
        <w:jc w:val="both"/>
        <w:rPr>
          <w:rFonts w:ascii="Arial" w:hAnsi="Arial" w:cs="Arial"/>
        </w:rPr>
      </w:pPr>
    </w:p>
    <w:p w14:paraId="609EF8BA" w14:textId="77777777" w:rsidR="00C3677B" w:rsidRPr="00594A3F" w:rsidRDefault="00B12389" w:rsidP="00594A3F">
      <w:pPr>
        <w:spacing w:line="360" w:lineRule="auto"/>
        <w:jc w:val="both"/>
        <w:rPr>
          <w:rFonts w:ascii="Arial" w:hAnsi="Arial" w:cs="Arial"/>
          <w:b/>
        </w:rPr>
      </w:pPr>
      <w:r w:rsidRPr="00594A3F">
        <w:rPr>
          <w:rFonts w:ascii="Arial" w:hAnsi="Arial" w:cs="Arial"/>
          <w:b/>
        </w:rPr>
        <w:lastRenderedPageBreak/>
        <w:t>R</w:t>
      </w:r>
      <w:r w:rsidR="00FC1A3C" w:rsidRPr="00594A3F">
        <w:rPr>
          <w:rFonts w:ascii="Arial" w:hAnsi="Arial" w:cs="Arial"/>
          <w:b/>
        </w:rPr>
        <w:t>EPLY:</w:t>
      </w:r>
    </w:p>
    <w:p w14:paraId="6079CF43" w14:textId="126ADEFC" w:rsidR="00364239" w:rsidRPr="00364239" w:rsidRDefault="002D2564" w:rsidP="00364239">
      <w:pPr>
        <w:pStyle w:val="ListParagraph"/>
        <w:numPr>
          <w:ilvl w:val="0"/>
          <w:numId w:val="20"/>
        </w:numPr>
        <w:tabs>
          <w:tab w:val="left" w:pos="426"/>
        </w:tabs>
        <w:spacing w:line="360" w:lineRule="auto"/>
        <w:ind w:left="851" w:hanging="851"/>
        <w:jc w:val="both"/>
        <w:rPr>
          <w:rFonts w:ascii="Arial" w:hAnsi="Arial" w:cs="Arial"/>
        </w:rPr>
      </w:pPr>
      <w:r w:rsidRPr="00364239">
        <w:rPr>
          <w:rFonts w:ascii="Arial" w:hAnsi="Arial" w:cs="Arial"/>
        </w:rPr>
        <w:t>(a)</w:t>
      </w:r>
      <w:r w:rsidR="00637B55" w:rsidRPr="00364239">
        <w:rPr>
          <w:rFonts w:ascii="Arial" w:hAnsi="Arial" w:cs="Arial"/>
        </w:rPr>
        <w:tab/>
      </w:r>
      <w:r w:rsidR="00367DC6" w:rsidRPr="00364239">
        <w:rPr>
          <w:rFonts w:ascii="Arial" w:hAnsi="Arial" w:cs="Arial"/>
        </w:rPr>
        <w:t xml:space="preserve">The Department has </w:t>
      </w:r>
      <w:r w:rsidR="00987AE7" w:rsidRPr="00364239">
        <w:rPr>
          <w:rFonts w:ascii="Arial" w:hAnsi="Arial" w:cs="Arial"/>
        </w:rPr>
        <w:t>secure</w:t>
      </w:r>
      <w:r w:rsidR="00367DC6" w:rsidRPr="00364239">
        <w:rPr>
          <w:rFonts w:ascii="Arial" w:hAnsi="Arial" w:cs="Arial"/>
        </w:rPr>
        <w:t>d</w:t>
      </w:r>
      <w:r w:rsidR="00987AE7" w:rsidRPr="00364239">
        <w:rPr>
          <w:rFonts w:ascii="Arial" w:hAnsi="Arial" w:cs="Arial"/>
        </w:rPr>
        <w:t xml:space="preserve"> donor funding from the European Union to </w:t>
      </w:r>
      <w:r w:rsidR="00367DC6" w:rsidRPr="00364239">
        <w:rPr>
          <w:rFonts w:ascii="Arial" w:hAnsi="Arial" w:cs="Arial"/>
        </w:rPr>
        <w:t xml:space="preserve">conduct </w:t>
      </w:r>
      <w:r w:rsidR="00987AE7" w:rsidRPr="00364239">
        <w:rPr>
          <w:rFonts w:ascii="Arial" w:hAnsi="Arial" w:cs="Arial"/>
        </w:rPr>
        <w:t xml:space="preserve">a full audit and verification of </w:t>
      </w:r>
      <w:r w:rsidR="00594A3F" w:rsidRPr="00364239">
        <w:rPr>
          <w:rFonts w:ascii="Arial" w:hAnsi="Arial" w:cs="Arial"/>
        </w:rPr>
        <w:t>Technical and Vocational Education and Training (</w:t>
      </w:r>
      <w:r w:rsidR="00987AE7" w:rsidRPr="00364239">
        <w:rPr>
          <w:rFonts w:ascii="Arial" w:hAnsi="Arial" w:cs="Arial"/>
        </w:rPr>
        <w:t>TVET</w:t>
      </w:r>
      <w:r w:rsidR="00594A3F" w:rsidRPr="00364239">
        <w:rPr>
          <w:rFonts w:ascii="Arial" w:hAnsi="Arial" w:cs="Arial"/>
        </w:rPr>
        <w:t>)</w:t>
      </w:r>
      <w:r w:rsidR="00367DC6" w:rsidRPr="00364239">
        <w:rPr>
          <w:rFonts w:ascii="Arial" w:hAnsi="Arial" w:cs="Arial"/>
        </w:rPr>
        <w:t xml:space="preserve"> c</w:t>
      </w:r>
      <w:r w:rsidR="00364239" w:rsidRPr="00364239">
        <w:rPr>
          <w:rFonts w:ascii="Arial" w:hAnsi="Arial" w:cs="Arial"/>
        </w:rPr>
        <w:t xml:space="preserve">ollege infrastructure, which will be based on the National Infrastructure Management Standards as set by the Department of Public Works. </w:t>
      </w:r>
    </w:p>
    <w:p w14:paraId="5AAA2E2C" w14:textId="0ECBC5CE" w:rsidR="00987AE7" w:rsidRPr="00637B55" w:rsidRDefault="00367DC6" w:rsidP="00364239">
      <w:pPr>
        <w:tabs>
          <w:tab w:val="left" w:pos="426"/>
        </w:tabs>
        <w:spacing w:line="360" w:lineRule="auto"/>
        <w:ind w:left="851"/>
        <w:jc w:val="both"/>
        <w:rPr>
          <w:rFonts w:ascii="Arial" w:hAnsi="Arial" w:cs="Arial"/>
        </w:rPr>
      </w:pPr>
      <w:r w:rsidRPr="00637B55">
        <w:rPr>
          <w:rFonts w:ascii="Arial" w:hAnsi="Arial" w:cs="Arial"/>
        </w:rPr>
        <w:t>The intention is to conduct the audit in the 3</w:t>
      </w:r>
      <w:r w:rsidRPr="00367DC6">
        <w:rPr>
          <w:rFonts w:ascii="Arial" w:hAnsi="Arial" w:cs="Arial"/>
          <w:vertAlign w:val="superscript"/>
        </w:rPr>
        <w:t xml:space="preserve">rd </w:t>
      </w:r>
      <w:r w:rsidRPr="00637B55">
        <w:rPr>
          <w:rFonts w:ascii="Arial" w:hAnsi="Arial" w:cs="Arial"/>
        </w:rPr>
        <w:t>and 4</w:t>
      </w:r>
      <w:r w:rsidRPr="00367DC6">
        <w:rPr>
          <w:rFonts w:ascii="Arial" w:hAnsi="Arial" w:cs="Arial"/>
          <w:vertAlign w:val="superscript"/>
        </w:rPr>
        <w:t>th</w:t>
      </w:r>
      <w:r w:rsidRPr="00637B55">
        <w:rPr>
          <w:rFonts w:ascii="Arial" w:hAnsi="Arial" w:cs="Arial"/>
        </w:rPr>
        <w:t xml:space="preserve"> quarter of </w:t>
      </w:r>
      <w:r>
        <w:rPr>
          <w:rFonts w:ascii="Arial" w:hAnsi="Arial" w:cs="Arial"/>
        </w:rPr>
        <w:t>this financial year. T</w:t>
      </w:r>
      <w:r w:rsidR="00987AE7" w:rsidRPr="00637B55">
        <w:rPr>
          <w:rFonts w:ascii="Arial" w:hAnsi="Arial" w:cs="Arial"/>
        </w:rPr>
        <w:t>he capital budgets req</w:t>
      </w:r>
      <w:r w:rsidR="00353031">
        <w:rPr>
          <w:rFonts w:ascii="Arial" w:hAnsi="Arial" w:cs="Arial"/>
        </w:rPr>
        <w:t xml:space="preserve">uired to renew and maintain </w:t>
      </w:r>
      <w:r w:rsidR="00987AE7" w:rsidRPr="00637B55">
        <w:rPr>
          <w:rFonts w:ascii="Arial" w:hAnsi="Arial" w:cs="Arial"/>
        </w:rPr>
        <w:t>TVET</w:t>
      </w:r>
      <w:r>
        <w:rPr>
          <w:rFonts w:ascii="Arial" w:hAnsi="Arial" w:cs="Arial"/>
        </w:rPr>
        <w:t xml:space="preserve"> c</w:t>
      </w:r>
      <w:r w:rsidR="00594A3F" w:rsidRPr="00637B55">
        <w:rPr>
          <w:rFonts w:ascii="Arial" w:hAnsi="Arial" w:cs="Arial"/>
        </w:rPr>
        <w:t>ollege</w:t>
      </w:r>
      <w:r w:rsidR="00987AE7" w:rsidRPr="00637B55">
        <w:rPr>
          <w:rFonts w:ascii="Arial" w:hAnsi="Arial" w:cs="Arial"/>
        </w:rPr>
        <w:t xml:space="preserve"> equipment will be available once the audit of infrastructure is complete.</w:t>
      </w:r>
    </w:p>
    <w:p w14:paraId="56C12790" w14:textId="44B439A5" w:rsidR="0075304B" w:rsidRPr="00637B55" w:rsidRDefault="00637B55" w:rsidP="00364239">
      <w:pPr>
        <w:shd w:val="clear" w:color="auto" w:fill="FFFFFF" w:themeFill="background1"/>
        <w:spacing w:line="360" w:lineRule="auto"/>
        <w:ind w:left="851" w:hanging="425"/>
        <w:jc w:val="both"/>
        <w:rPr>
          <w:rFonts w:ascii="Arial" w:hAnsi="Arial" w:cs="Arial"/>
        </w:rPr>
      </w:pPr>
      <w:r>
        <w:rPr>
          <w:rFonts w:ascii="Arial" w:hAnsi="Arial" w:cs="Arial"/>
        </w:rPr>
        <w:t>(b)</w:t>
      </w:r>
      <w:r>
        <w:rPr>
          <w:rFonts w:ascii="Arial" w:hAnsi="Arial" w:cs="Arial"/>
        </w:rPr>
        <w:tab/>
      </w:r>
      <w:r w:rsidR="006810E5" w:rsidRPr="00637B55">
        <w:rPr>
          <w:rFonts w:ascii="Arial" w:hAnsi="Arial" w:cs="Arial"/>
        </w:rPr>
        <w:t xml:space="preserve">Currently college workshops are by-and-large equipped to deal with the practical </w:t>
      </w:r>
      <w:r w:rsidR="00594A3F" w:rsidRPr="00637B55">
        <w:rPr>
          <w:rFonts w:ascii="Arial" w:hAnsi="Arial" w:cs="Arial"/>
        </w:rPr>
        <w:t>Nat</w:t>
      </w:r>
      <w:r w:rsidR="00367DC6">
        <w:rPr>
          <w:rFonts w:ascii="Arial" w:hAnsi="Arial" w:cs="Arial"/>
        </w:rPr>
        <w:t xml:space="preserve">ional Certificate (Vocational) </w:t>
      </w:r>
      <w:r w:rsidR="006810E5" w:rsidRPr="00637B55">
        <w:rPr>
          <w:rFonts w:ascii="Arial" w:hAnsi="Arial" w:cs="Arial"/>
        </w:rPr>
        <w:t xml:space="preserve">programmes </w:t>
      </w:r>
      <w:r w:rsidR="00353031">
        <w:rPr>
          <w:rFonts w:ascii="Arial" w:hAnsi="Arial" w:cs="Arial"/>
        </w:rPr>
        <w:t xml:space="preserve">and </w:t>
      </w:r>
      <w:r w:rsidR="00EA1D34" w:rsidRPr="00637B55">
        <w:rPr>
          <w:rFonts w:ascii="Arial" w:hAnsi="Arial" w:cs="Arial"/>
        </w:rPr>
        <w:t xml:space="preserve">Integrated Summative Assessment Tasks </w:t>
      </w:r>
      <w:r w:rsidR="006810E5" w:rsidRPr="00637B55">
        <w:rPr>
          <w:rFonts w:ascii="Arial" w:hAnsi="Arial" w:cs="Arial"/>
        </w:rPr>
        <w:t>that form part of the external examinations. There have however been plant and equipment challenges when colleges over-enrol in certain programmes. This practice has been curbed</w:t>
      </w:r>
      <w:r w:rsidR="0075304B" w:rsidRPr="00637B55">
        <w:rPr>
          <w:rFonts w:ascii="Arial" w:hAnsi="Arial" w:cs="Arial"/>
        </w:rPr>
        <w:t xml:space="preserve"> since the 2016 planning year. </w:t>
      </w:r>
    </w:p>
    <w:p w14:paraId="468D50FE" w14:textId="5B65A915" w:rsidR="00364239" w:rsidRDefault="006810E5" w:rsidP="00364239">
      <w:pPr>
        <w:pStyle w:val="ListParagraph"/>
        <w:shd w:val="clear" w:color="auto" w:fill="FFFFFF" w:themeFill="background1"/>
        <w:spacing w:line="360" w:lineRule="auto"/>
        <w:ind w:left="851"/>
        <w:contextualSpacing w:val="0"/>
        <w:jc w:val="both"/>
        <w:rPr>
          <w:rFonts w:ascii="Arial" w:hAnsi="Arial" w:cs="Arial"/>
        </w:rPr>
      </w:pPr>
      <w:r w:rsidRPr="00594A3F">
        <w:rPr>
          <w:rFonts w:ascii="Arial" w:hAnsi="Arial" w:cs="Arial"/>
        </w:rPr>
        <w:t>The Report 191 programmes are largely theoretical in nature. However</w:t>
      </w:r>
      <w:r w:rsidR="00353031">
        <w:rPr>
          <w:rFonts w:ascii="Arial" w:hAnsi="Arial" w:cs="Arial"/>
        </w:rPr>
        <w:t>,</w:t>
      </w:r>
      <w:r w:rsidRPr="00594A3F">
        <w:rPr>
          <w:rFonts w:ascii="Arial" w:hAnsi="Arial" w:cs="Arial"/>
        </w:rPr>
        <w:t xml:space="preserve"> with the introduction of the new occupational programmes</w:t>
      </w:r>
      <w:r w:rsidR="00367DC6">
        <w:rPr>
          <w:rFonts w:ascii="Arial" w:hAnsi="Arial" w:cs="Arial"/>
        </w:rPr>
        <w:t>,</w:t>
      </w:r>
      <w:r w:rsidRPr="00594A3F">
        <w:rPr>
          <w:rFonts w:ascii="Arial" w:hAnsi="Arial" w:cs="Arial"/>
        </w:rPr>
        <w:t xml:space="preserve"> significant equipment upgrades will be required. This has not yet been quantified in </w:t>
      </w:r>
      <w:r w:rsidR="003C64FA" w:rsidRPr="00594A3F">
        <w:rPr>
          <w:rFonts w:ascii="Arial" w:hAnsi="Arial" w:cs="Arial"/>
        </w:rPr>
        <w:t>total,</w:t>
      </w:r>
      <w:r w:rsidRPr="00594A3F">
        <w:rPr>
          <w:rFonts w:ascii="Arial" w:hAnsi="Arial" w:cs="Arial"/>
        </w:rPr>
        <w:t xml:space="preserve"> as the implementation will be done systematically over the next year.  The first major pilot programmes are now unfolding</w:t>
      </w:r>
      <w:r w:rsidR="00367DC6">
        <w:rPr>
          <w:rFonts w:ascii="Arial" w:hAnsi="Arial" w:cs="Arial"/>
        </w:rPr>
        <w:t xml:space="preserve"> </w:t>
      </w:r>
      <w:r w:rsidR="00353031">
        <w:rPr>
          <w:rFonts w:ascii="Arial" w:hAnsi="Arial" w:cs="Arial"/>
        </w:rPr>
        <w:t xml:space="preserve">and </w:t>
      </w:r>
      <w:r w:rsidRPr="00594A3F">
        <w:rPr>
          <w:rFonts w:ascii="Arial" w:hAnsi="Arial" w:cs="Arial"/>
        </w:rPr>
        <w:t xml:space="preserve">will </w:t>
      </w:r>
      <w:r w:rsidR="00367DC6">
        <w:rPr>
          <w:rFonts w:ascii="Arial" w:hAnsi="Arial" w:cs="Arial"/>
        </w:rPr>
        <w:t xml:space="preserve">provide </w:t>
      </w:r>
      <w:r w:rsidRPr="00594A3F">
        <w:rPr>
          <w:rFonts w:ascii="Arial" w:hAnsi="Arial" w:cs="Arial"/>
        </w:rPr>
        <w:t xml:space="preserve">estimates of funding required.  </w:t>
      </w:r>
    </w:p>
    <w:p w14:paraId="4DC0B12B" w14:textId="77777777" w:rsidR="005E4184" w:rsidRDefault="005E4184" w:rsidP="005E4184">
      <w:pPr>
        <w:pStyle w:val="ListParagraph"/>
        <w:numPr>
          <w:ilvl w:val="0"/>
          <w:numId w:val="20"/>
        </w:numPr>
        <w:tabs>
          <w:tab w:val="left" w:pos="426"/>
        </w:tabs>
        <w:spacing w:line="360" w:lineRule="auto"/>
        <w:ind w:left="851" w:hanging="851"/>
        <w:jc w:val="both"/>
        <w:rPr>
          <w:rFonts w:ascii="Arial" w:hAnsi="Arial" w:cs="Arial"/>
        </w:rPr>
      </w:pPr>
      <w:r w:rsidRPr="00364239">
        <w:rPr>
          <w:rFonts w:ascii="Arial" w:hAnsi="Arial" w:cs="Arial"/>
        </w:rPr>
        <w:t>(a)  Budgets to TVET colleges and provision for maintenance and repairs:</w:t>
      </w:r>
    </w:p>
    <w:p w14:paraId="27925003" w14:textId="77777777" w:rsidR="005E4184" w:rsidRDefault="005E4184" w:rsidP="005E4184">
      <w:pPr>
        <w:pStyle w:val="ListParagraph"/>
        <w:tabs>
          <w:tab w:val="left" w:pos="426"/>
        </w:tabs>
        <w:spacing w:line="360" w:lineRule="auto"/>
        <w:ind w:left="851"/>
        <w:jc w:val="both"/>
        <w:rPr>
          <w:rFonts w:ascii="Arial" w:hAnsi="Arial" w:cs="Arial"/>
        </w:rPr>
      </w:pPr>
    </w:p>
    <w:tbl>
      <w:tblPr>
        <w:tblStyle w:val="TableGrid"/>
        <w:tblW w:w="9195" w:type="dxa"/>
        <w:tblInd w:w="720" w:type="dxa"/>
        <w:tblLayout w:type="fixed"/>
        <w:tblLook w:val="04A0" w:firstRow="1" w:lastRow="0" w:firstColumn="1" w:lastColumn="0" w:noHBand="0" w:noVBand="1"/>
      </w:tblPr>
      <w:tblGrid>
        <w:gridCol w:w="1036"/>
        <w:gridCol w:w="1639"/>
        <w:gridCol w:w="1276"/>
        <w:gridCol w:w="1134"/>
        <w:gridCol w:w="1700"/>
        <w:gridCol w:w="1276"/>
        <w:gridCol w:w="1134"/>
      </w:tblGrid>
      <w:tr w:rsidR="005E4184" w14:paraId="0E8AC6AF" w14:textId="77777777" w:rsidTr="005E4184">
        <w:tc>
          <w:tcPr>
            <w:tcW w:w="1037" w:type="dxa"/>
            <w:vMerge w:val="restart"/>
            <w:tcBorders>
              <w:top w:val="single" w:sz="4" w:space="0" w:color="auto"/>
              <w:left w:val="single" w:sz="4" w:space="0" w:color="auto"/>
              <w:bottom w:val="single" w:sz="4" w:space="0" w:color="auto"/>
              <w:right w:val="single" w:sz="4" w:space="0" w:color="auto"/>
            </w:tcBorders>
          </w:tcPr>
          <w:p w14:paraId="33143D4F" w14:textId="77777777" w:rsidR="005E4184" w:rsidRDefault="005E4184">
            <w:pPr>
              <w:pStyle w:val="ListParagraph"/>
              <w:spacing w:before="60" w:after="60" w:line="240" w:lineRule="auto"/>
              <w:ind w:left="0"/>
              <w:jc w:val="both"/>
              <w:rPr>
                <w:rFonts w:ascii="Arial" w:hAnsi="Arial" w:cs="Arial"/>
                <w:sz w:val="20"/>
              </w:rPr>
            </w:pPr>
          </w:p>
        </w:tc>
        <w:tc>
          <w:tcPr>
            <w:tcW w:w="4050" w:type="dxa"/>
            <w:gridSpan w:val="3"/>
            <w:tcBorders>
              <w:top w:val="single" w:sz="4" w:space="0" w:color="auto"/>
              <w:left w:val="single" w:sz="4" w:space="0" w:color="auto"/>
              <w:bottom w:val="single" w:sz="4" w:space="0" w:color="auto"/>
              <w:right w:val="single" w:sz="4" w:space="0" w:color="auto"/>
            </w:tcBorders>
            <w:hideMark/>
          </w:tcPr>
          <w:p w14:paraId="2A80DEB6" w14:textId="77777777" w:rsidR="005E4184" w:rsidRDefault="005E4184">
            <w:pPr>
              <w:spacing w:before="60" w:after="60" w:line="240" w:lineRule="auto"/>
              <w:jc w:val="center"/>
              <w:rPr>
                <w:rFonts w:ascii="Arial" w:hAnsi="Arial" w:cs="Arial"/>
                <w:b/>
                <w:sz w:val="20"/>
              </w:rPr>
            </w:pPr>
            <w:r>
              <w:rPr>
                <w:rFonts w:ascii="Arial" w:hAnsi="Arial" w:cs="Arial"/>
                <w:b/>
                <w:sz w:val="20"/>
              </w:rPr>
              <w:t>(i) 2015/16</w:t>
            </w:r>
          </w:p>
        </w:tc>
        <w:tc>
          <w:tcPr>
            <w:tcW w:w="4111" w:type="dxa"/>
            <w:gridSpan w:val="3"/>
            <w:tcBorders>
              <w:top w:val="single" w:sz="4" w:space="0" w:color="auto"/>
              <w:left w:val="single" w:sz="4" w:space="0" w:color="auto"/>
              <w:bottom w:val="single" w:sz="4" w:space="0" w:color="auto"/>
              <w:right w:val="single" w:sz="4" w:space="0" w:color="auto"/>
            </w:tcBorders>
            <w:hideMark/>
          </w:tcPr>
          <w:p w14:paraId="2CECABE2" w14:textId="77777777" w:rsidR="005E4184" w:rsidRDefault="005E4184">
            <w:pPr>
              <w:pStyle w:val="ListParagraph"/>
              <w:spacing w:before="60" w:after="60" w:line="240" w:lineRule="auto"/>
              <w:ind w:left="577"/>
              <w:jc w:val="center"/>
              <w:rPr>
                <w:rFonts w:ascii="Arial" w:hAnsi="Arial" w:cs="Arial"/>
                <w:b/>
                <w:sz w:val="20"/>
              </w:rPr>
            </w:pPr>
            <w:r>
              <w:rPr>
                <w:rFonts w:ascii="Arial" w:hAnsi="Arial" w:cs="Arial"/>
                <w:b/>
                <w:sz w:val="20"/>
              </w:rPr>
              <w:t>(ii) 2016/17</w:t>
            </w:r>
          </w:p>
        </w:tc>
      </w:tr>
      <w:tr w:rsidR="005E4184" w14:paraId="4C37A665" w14:textId="77777777" w:rsidTr="005E4184">
        <w:trPr>
          <w:trHeight w:val="698"/>
        </w:trPr>
        <w:tc>
          <w:tcPr>
            <w:tcW w:w="1037" w:type="dxa"/>
            <w:vMerge/>
            <w:tcBorders>
              <w:top w:val="single" w:sz="4" w:space="0" w:color="auto"/>
              <w:left w:val="single" w:sz="4" w:space="0" w:color="auto"/>
              <w:bottom w:val="single" w:sz="4" w:space="0" w:color="auto"/>
              <w:right w:val="single" w:sz="4" w:space="0" w:color="auto"/>
            </w:tcBorders>
            <w:vAlign w:val="center"/>
            <w:hideMark/>
          </w:tcPr>
          <w:p w14:paraId="7CF4E948" w14:textId="77777777" w:rsidR="005E4184" w:rsidRDefault="005E4184">
            <w:pPr>
              <w:spacing w:after="0" w:line="240" w:lineRule="auto"/>
              <w:rPr>
                <w:rFonts w:ascii="Arial" w:hAnsi="Arial" w:cs="Arial"/>
                <w:sz w:val="20"/>
              </w:rPr>
            </w:pPr>
          </w:p>
        </w:tc>
        <w:tc>
          <w:tcPr>
            <w:tcW w:w="1640" w:type="dxa"/>
            <w:tcBorders>
              <w:top w:val="single" w:sz="4" w:space="0" w:color="auto"/>
              <w:left w:val="single" w:sz="4" w:space="0" w:color="auto"/>
              <w:bottom w:val="single" w:sz="4" w:space="0" w:color="auto"/>
              <w:right w:val="single" w:sz="4" w:space="0" w:color="auto"/>
            </w:tcBorders>
            <w:hideMark/>
          </w:tcPr>
          <w:p w14:paraId="5AA67AD2" w14:textId="77777777" w:rsidR="005E4184" w:rsidRDefault="005E4184">
            <w:pPr>
              <w:pStyle w:val="ListParagraph"/>
              <w:spacing w:before="60" w:after="60" w:line="240" w:lineRule="auto"/>
              <w:ind w:left="0"/>
              <w:jc w:val="center"/>
              <w:rPr>
                <w:rFonts w:ascii="Arial" w:hAnsi="Arial" w:cs="Arial"/>
                <w:b/>
                <w:sz w:val="20"/>
              </w:rPr>
            </w:pPr>
            <w:r>
              <w:rPr>
                <w:rFonts w:ascii="Arial" w:hAnsi="Arial" w:cs="Arial"/>
                <w:b/>
                <w:sz w:val="20"/>
              </w:rPr>
              <w:t>Compensation of Employee Costs</w:t>
            </w:r>
          </w:p>
          <w:p w14:paraId="3FC2BA4F" w14:textId="77777777" w:rsidR="005E4184" w:rsidRDefault="005E4184">
            <w:pPr>
              <w:pStyle w:val="ListParagraph"/>
              <w:spacing w:before="60" w:after="60" w:line="240" w:lineRule="auto"/>
              <w:ind w:left="0"/>
              <w:jc w:val="center"/>
              <w:rPr>
                <w:rFonts w:ascii="Arial" w:hAnsi="Arial" w:cs="Arial"/>
                <w:b/>
                <w:sz w:val="20"/>
              </w:rPr>
            </w:pPr>
            <w:r>
              <w:rPr>
                <w:rFonts w:ascii="Arial" w:hAnsi="Arial" w:cs="Arial"/>
                <w:b/>
                <w:sz w:val="20"/>
              </w:rPr>
              <w:t>R’000</w:t>
            </w:r>
          </w:p>
        </w:tc>
        <w:tc>
          <w:tcPr>
            <w:tcW w:w="1276" w:type="dxa"/>
            <w:tcBorders>
              <w:top w:val="single" w:sz="4" w:space="0" w:color="auto"/>
              <w:left w:val="single" w:sz="4" w:space="0" w:color="auto"/>
              <w:bottom w:val="single" w:sz="4" w:space="0" w:color="auto"/>
              <w:right w:val="single" w:sz="4" w:space="0" w:color="auto"/>
            </w:tcBorders>
            <w:hideMark/>
          </w:tcPr>
          <w:p w14:paraId="2C723162" w14:textId="77777777" w:rsidR="005E4184" w:rsidRDefault="005E4184">
            <w:pPr>
              <w:pStyle w:val="ListParagraph"/>
              <w:spacing w:before="60" w:after="60" w:line="240" w:lineRule="auto"/>
              <w:ind w:left="0"/>
              <w:jc w:val="center"/>
              <w:rPr>
                <w:rFonts w:ascii="Arial" w:hAnsi="Arial" w:cs="Arial"/>
                <w:b/>
                <w:sz w:val="20"/>
              </w:rPr>
            </w:pPr>
            <w:r>
              <w:rPr>
                <w:rFonts w:ascii="Arial" w:hAnsi="Arial" w:cs="Arial"/>
                <w:b/>
                <w:sz w:val="20"/>
              </w:rPr>
              <w:t>Subsidy Allocation</w:t>
            </w:r>
          </w:p>
          <w:p w14:paraId="33DD376C" w14:textId="77777777" w:rsidR="005E4184" w:rsidRDefault="005E4184">
            <w:pPr>
              <w:pStyle w:val="ListParagraph"/>
              <w:spacing w:before="60" w:after="60" w:line="240" w:lineRule="auto"/>
              <w:ind w:left="0"/>
              <w:jc w:val="center"/>
              <w:rPr>
                <w:rFonts w:ascii="Arial" w:hAnsi="Arial" w:cs="Arial"/>
                <w:b/>
                <w:sz w:val="20"/>
              </w:rPr>
            </w:pPr>
            <w:r>
              <w:rPr>
                <w:rFonts w:ascii="Arial" w:hAnsi="Arial" w:cs="Arial"/>
                <w:b/>
                <w:sz w:val="20"/>
              </w:rPr>
              <w:t>R’000</w:t>
            </w:r>
          </w:p>
        </w:tc>
        <w:tc>
          <w:tcPr>
            <w:tcW w:w="1134" w:type="dxa"/>
            <w:tcBorders>
              <w:top w:val="single" w:sz="4" w:space="0" w:color="auto"/>
              <w:left w:val="single" w:sz="4" w:space="0" w:color="auto"/>
              <w:bottom w:val="single" w:sz="4" w:space="0" w:color="auto"/>
              <w:right w:val="single" w:sz="4" w:space="0" w:color="auto"/>
            </w:tcBorders>
            <w:hideMark/>
          </w:tcPr>
          <w:p w14:paraId="48A3F443" w14:textId="77777777" w:rsidR="005E4184" w:rsidRDefault="005E4184">
            <w:pPr>
              <w:pStyle w:val="ListParagraph"/>
              <w:spacing w:before="60" w:after="60" w:line="240" w:lineRule="auto"/>
              <w:ind w:left="0"/>
              <w:jc w:val="center"/>
              <w:rPr>
                <w:rFonts w:ascii="Arial" w:hAnsi="Arial" w:cs="Arial"/>
                <w:b/>
                <w:sz w:val="20"/>
              </w:rPr>
            </w:pPr>
            <w:r>
              <w:rPr>
                <w:rFonts w:ascii="Arial" w:hAnsi="Arial" w:cs="Arial"/>
                <w:b/>
                <w:sz w:val="20"/>
              </w:rPr>
              <w:t>Total</w:t>
            </w:r>
          </w:p>
          <w:p w14:paraId="54DE99DC" w14:textId="77777777" w:rsidR="005E4184" w:rsidRDefault="005E4184">
            <w:pPr>
              <w:pStyle w:val="ListParagraph"/>
              <w:spacing w:before="60" w:after="60" w:line="240" w:lineRule="auto"/>
              <w:ind w:left="0"/>
              <w:jc w:val="center"/>
              <w:rPr>
                <w:rFonts w:ascii="Arial" w:hAnsi="Arial" w:cs="Arial"/>
                <w:b/>
                <w:sz w:val="20"/>
              </w:rPr>
            </w:pPr>
            <w:r>
              <w:rPr>
                <w:rFonts w:ascii="Arial" w:hAnsi="Arial" w:cs="Arial"/>
                <w:b/>
                <w:sz w:val="20"/>
              </w:rPr>
              <w:t>2015/16</w:t>
            </w:r>
          </w:p>
          <w:p w14:paraId="7AC17FDC" w14:textId="77777777" w:rsidR="005E4184" w:rsidRDefault="005E4184">
            <w:pPr>
              <w:pStyle w:val="ListParagraph"/>
              <w:spacing w:before="60" w:after="60" w:line="240" w:lineRule="auto"/>
              <w:ind w:left="0"/>
              <w:jc w:val="center"/>
              <w:rPr>
                <w:rFonts w:ascii="Arial" w:hAnsi="Arial" w:cs="Arial"/>
                <w:b/>
                <w:sz w:val="20"/>
              </w:rPr>
            </w:pPr>
            <w:r>
              <w:rPr>
                <w:rFonts w:ascii="Arial" w:hAnsi="Arial" w:cs="Arial"/>
                <w:b/>
                <w:sz w:val="20"/>
              </w:rPr>
              <w:t>R’000</w:t>
            </w:r>
          </w:p>
        </w:tc>
        <w:tc>
          <w:tcPr>
            <w:tcW w:w="1701" w:type="dxa"/>
            <w:tcBorders>
              <w:top w:val="single" w:sz="4" w:space="0" w:color="auto"/>
              <w:left w:val="single" w:sz="4" w:space="0" w:color="auto"/>
              <w:bottom w:val="single" w:sz="4" w:space="0" w:color="auto"/>
              <w:right w:val="single" w:sz="4" w:space="0" w:color="auto"/>
            </w:tcBorders>
            <w:hideMark/>
          </w:tcPr>
          <w:p w14:paraId="6C530D2F" w14:textId="77777777" w:rsidR="005E4184" w:rsidRDefault="005E4184">
            <w:pPr>
              <w:pStyle w:val="ListParagraph"/>
              <w:spacing w:before="60" w:after="60" w:line="240" w:lineRule="auto"/>
              <w:ind w:left="0"/>
              <w:jc w:val="center"/>
              <w:rPr>
                <w:rFonts w:ascii="Arial" w:hAnsi="Arial" w:cs="Arial"/>
                <w:b/>
                <w:sz w:val="20"/>
              </w:rPr>
            </w:pPr>
            <w:r>
              <w:rPr>
                <w:rFonts w:ascii="Arial" w:hAnsi="Arial" w:cs="Arial"/>
                <w:b/>
                <w:sz w:val="20"/>
              </w:rPr>
              <w:t>Compensation of Employee Costs</w:t>
            </w:r>
          </w:p>
          <w:p w14:paraId="492DC46D" w14:textId="77777777" w:rsidR="005E4184" w:rsidRDefault="005E4184">
            <w:pPr>
              <w:pStyle w:val="ListParagraph"/>
              <w:spacing w:before="60" w:after="60" w:line="240" w:lineRule="auto"/>
              <w:ind w:left="0"/>
              <w:jc w:val="center"/>
              <w:rPr>
                <w:rFonts w:ascii="Arial" w:hAnsi="Arial" w:cs="Arial"/>
                <w:b/>
                <w:sz w:val="20"/>
              </w:rPr>
            </w:pPr>
            <w:r>
              <w:rPr>
                <w:rFonts w:ascii="Arial" w:hAnsi="Arial" w:cs="Arial"/>
                <w:b/>
                <w:sz w:val="20"/>
              </w:rPr>
              <w:t>R’000</w:t>
            </w:r>
          </w:p>
        </w:tc>
        <w:tc>
          <w:tcPr>
            <w:tcW w:w="1276" w:type="dxa"/>
            <w:tcBorders>
              <w:top w:val="single" w:sz="4" w:space="0" w:color="auto"/>
              <w:left w:val="single" w:sz="4" w:space="0" w:color="auto"/>
              <w:bottom w:val="single" w:sz="4" w:space="0" w:color="auto"/>
              <w:right w:val="single" w:sz="4" w:space="0" w:color="auto"/>
            </w:tcBorders>
            <w:hideMark/>
          </w:tcPr>
          <w:p w14:paraId="7BD56947" w14:textId="77777777" w:rsidR="005E4184" w:rsidRDefault="005E4184">
            <w:pPr>
              <w:pStyle w:val="ListParagraph"/>
              <w:spacing w:before="60" w:after="60" w:line="240" w:lineRule="auto"/>
              <w:ind w:left="0"/>
              <w:jc w:val="center"/>
              <w:rPr>
                <w:rFonts w:ascii="Arial" w:hAnsi="Arial" w:cs="Arial"/>
                <w:b/>
                <w:sz w:val="20"/>
              </w:rPr>
            </w:pPr>
            <w:r>
              <w:rPr>
                <w:rFonts w:ascii="Arial" w:hAnsi="Arial" w:cs="Arial"/>
                <w:b/>
                <w:sz w:val="20"/>
              </w:rPr>
              <w:t>Subsidy Allocation</w:t>
            </w:r>
          </w:p>
          <w:p w14:paraId="4534C746" w14:textId="77777777" w:rsidR="005E4184" w:rsidRDefault="005E4184">
            <w:pPr>
              <w:pStyle w:val="ListParagraph"/>
              <w:spacing w:before="60" w:after="60" w:line="240" w:lineRule="auto"/>
              <w:ind w:left="0"/>
              <w:jc w:val="center"/>
              <w:rPr>
                <w:rFonts w:ascii="Arial" w:hAnsi="Arial" w:cs="Arial"/>
                <w:b/>
                <w:sz w:val="20"/>
              </w:rPr>
            </w:pPr>
            <w:r>
              <w:rPr>
                <w:rFonts w:ascii="Arial" w:hAnsi="Arial" w:cs="Arial"/>
                <w:b/>
                <w:sz w:val="20"/>
              </w:rPr>
              <w:t>R’000</w:t>
            </w:r>
          </w:p>
        </w:tc>
        <w:tc>
          <w:tcPr>
            <w:tcW w:w="1134" w:type="dxa"/>
            <w:tcBorders>
              <w:top w:val="single" w:sz="4" w:space="0" w:color="auto"/>
              <w:left w:val="single" w:sz="4" w:space="0" w:color="auto"/>
              <w:bottom w:val="single" w:sz="4" w:space="0" w:color="auto"/>
              <w:right w:val="single" w:sz="4" w:space="0" w:color="auto"/>
            </w:tcBorders>
            <w:hideMark/>
          </w:tcPr>
          <w:p w14:paraId="14CD9349" w14:textId="77777777" w:rsidR="005E4184" w:rsidRDefault="005E4184">
            <w:pPr>
              <w:pStyle w:val="ListParagraph"/>
              <w:spacing w:before="60" w:after="60" w:line="240" w:lineRule="auto"/>
              <w:ind w:left="0"/>
              <w:jc w:val="center"/>
              <w:rPr>
                <w:rFonts w:ascii="Arial" w:hAnsi="Arial" w:cs="Arial"/>
                <w:b/>
                <w:sz w:val="20"/>
              </w:rPr>
            </w:pPr>
            <w:r>
              <w:rPr>
                <w:rFonts w:ascii="Arial" w:hAnsi="Arial" w:cs="Arial"/>
                <w:b/>
                <w:sz w:val="20"/>
              </w:rPr>
              <w:t>Total</w:t>
            </w:r>
          </w:p>
          <w:p w14:paraId="2D981C9B" w14:textId="77777777" w:rsidR="005E4184" w:rsidRDefault="005E4184">
            <w:pPr>
              <w:pStyle w:val="ListParagraph"/>
              <w:spacing w:before="60" w:after="60" w:line="240" w:lineRule="auto"/>
              <w:ind w:left="0"/>
              <w:jc w:val="center"/>
              <w:rPr>
                <w:rFonts w:ascii="Arial" w:hAnsi="Arial" w:cs="Arial"/>
                <w:b/>
                <w:sz w:val="20"/>
              </w:rPr>
            </w:pPr>
            <w:r>
              <w:rPr>
                <w:rFonts w:ascii="Arial" w:hAnsi="Arial" w:cs="Arial"/>
                <w:b/>
                <w:sz w:val="20"/>
              </w:rPr>
              <w:t>2016/17</w:t>
            </w:r>
          </w:p>
          <w:p w14:paraId="3F8E2BEB" w14:textId="77777777" w:rsidR="005E4184" w:rsidRDefault="005E4184">
            <w:pPr>
              <w:pStyle w:val="ListParagraph"/>
              <w:spacing w:before="60" w:after="60" w:line="240" w:lineRule="auto"/>
              <w:ind w:left="0"/>
              <w:jc w:val="center"/>
              <w:rPr>
                <w:rFonts w:ascii="Arial" w:hAnsi="Arial" w:cs="Arial"/>
                <w:b/>
                <w:sz w:val="20"/>
              </w:rPr>
            </w:pPr>
            <w:r>
              <w:rPr>
                <w:rFonts w:ascii="Arial" w:hAnsi="Arial" w:cs="Arial"/>
                <w:b/>
                <w:sz w:val="20"/>
              </w:rPr>
              <w:t>R’000</w:t>
            </w:r>
          </w:p>
        </w:tc>
      </w:tr>
      <w:tr w:rsidR="005E4184" w14:paraId="2EFA8EF2" w14:textId="77777777" w:rsidTr="005E4184">
        <w:tc>
          <w:tcPr>
            <w:tcW w:w="1037" w:type="dxa"/>
            <w:tcBorders>
              <w:top w:val="single" w:sz="4" w:space="0" w:color="auto"/>
              <w:left w:val="single" w:sz="4" w:space="0" w:color="auto"/>
              <w:bottom w:val="single" w:sz="4" w:space="0" w:color="auto"/>
              <w:right w:val="single" w:sz="4" w:space="0" w:color="auto"/>
            </w:tcBorders>
            <w:hideMark/>
          </w:tcPr>
          <w:p w14:paraId="0DF74A3C" w14:textId="77777777" w:rsidR="005E4184" w:rsidRDefault="005E4184">
            <w:pPr>
              <w:pStyle w:val="ListParagraph"/>
              <w:spacing w:before="60" w:after="60" w:line="240" w:lineRule="auto"/>
              <w:ind w:left="0"/>
              <w:rPr>
                <w:rFonts w:ascii="Arial" w:hAnsi="Arial" w:cs="Arial"/>
                <w:b/>
                <w:sz w:val="20"/>
              </w:rPr>
            </w:pPr>
            <w:r>
              <w:rPr>
                <w:rFonts w:ascii="Arial" w:hAnsi="Arial" w:cs="Arial"/>
                <w:b/>
                <w:sz w:val="20"/>
              </w:rPr>
              <w:t>National Budget Total: TVET College</w:t>
            </w:r>
          </w:p>
        </w:tc>
        <w:tc>
          <w:tcPr>
            <w:tcW w:w="1640" w:type="dxa"/>
            <w:tcBorders>
              <w:top w:val="single" w:sz="4" w:space="0" w:color="auto"/>
              <w:left w:val="single" w:sz="4" w:space="0" w:color="auto"/>
              <w:bottom w:val="single" w:sz="4" w:space="0" w:color="auto"/>
              <w:right w:val="single" w:sz="4" w:space="0" w:color="auto"/>
            </w:tcBorders>
            <w:hideMark/>
          </w:tcPr>
          <w:p w14:paraId="62E79598" w14:textId="77777777" w:rsidR="005E4184" w:rsidRDefault="005E4184">
            <w:pPr>
              <w:pStyle w:val="ListParagraph"/>
              <w:spacing w:before="60" w:after="60" w:line="240" w:lineRule="auto"/>
              <w:ind w:left="0"/>
              <w:jc w:val="right"/>
              <w:rPr>
                <w:rFonts w:ascii="Arial" w:hAnsi="Arial" w:cs="Arial"/>
                <w:sz w:val="20"/>
              </w:rPr>
            </w:pPr>
            <w:r>
              <w:rPr>
                <w:rFonts w:ascii="Arial" w:hAnsi="Arial" w:cs="Arial"/>
                <w:sz w:val="20"/>
              </w:rPr>
              <w:t>4 943 262</w:t>
            </w:r>
          </w:p>
        </w:tc>
        <w:tc>
          <w:tcPr>
            <w:tcW w:w="1276" w:type="dxa"/>
            <w:tcBorders>
              <w:top w:val="single" w:sz="4" w:space="0" w:color="auto"/>
              <w:left w:val="single" w:sz="4" w:space="0" w:color="auto"/>
              <w:bottom w:val="single" w:sz="4" w:space="0" w:color="auto"/>
              <w:right w:val="single" w:sz="4" w:space="0" w:color="auto"/>
            </w:tcBorders>
            <w:hideMark/>
          </w:tcPr>
          <w:p w14:paraId="6962D217" w14:textId="77777777" w:rsidR="005E4184" w:rsidRDefault="005E4184">
            <w:pPr>
              <w:pStyle w:val="ListParagraph"/>
              <w:spacing w:before="60" w:after="60" w:line="240" w:lineRule="auto"/>
              <w:ind w:left="0"/>
              <w:jc w:val="right"/>
              <w:rPr>
                <w:rFonts w:ascii="Arial" w:hAnsi="Arial" w:cs="Arial"/>
                <w:sz w:val="20"/>
              </w:rPr>
            </w:pPr>
            <w:r>
              <w:rPr>
                <w:rFonts w:ascii="Arial" w:hAnsi="Arial" w:cs="Arial"/>
                <w:sz w:val="20"/>
              </w:rPr>
              <w:t>1 140 945</w:t>
            </w:r>
          </w:p>
        </w:tc>
        <w:tc>
          <w:tcPr>
            <w:tcW w:w="1134" w:type="dxa"/>
            <w:tcBorders>
              <w:top w:val="single" w:sz="4" w:space="0" w:color="auto"/>
              <w:left w:val="single" w:sz="4" w:space="0" w:color="auto"/>
              <w:bottom w:val="single" w:sz="4" w:space="0" w:color="auto"/>
              <w:right w:val="single" w:sz="4" w:space="0" w:color="auto"/>
            </w:tcBorders>
            <w:hideMark/>
          </w:tcPr>
          <w:p w14:paraId="0F22AF73" w14:textId="77777777" w:rsidR="005E4184" w:rsidRDefault="005E4184">
            <w:pPr>
              <w:pStyle w:val="ListParagraph"/>
              <w:spacing w:before="60" w:after="60" w:line="240" w:lineRule="auto"/>
              <w:ind w:left="0"/>
              <w:jc w:val="right"/>
              <w:rPr>
                <w:rFonts w:ascii="Arial" w:hAnsi="Arial" w:cs="Arial"/>
                <w:b/>
                <w:sz w:val="20"/>
              </w:rPr>
            </w:pPr>
            <w:r>
              <w:rPr>
                <w:rFonts w:ascii="Arial" w:hAnsi="Arial" w:cs="Arial"/>
                <w:b/>
                <w:sz w:val="20"/>
              </w:rPr>
              <w:t>6 084 207</w:t>
            </w:r>
          </w:p>
        </w:tc>
        <w:tc>
          <w:tcPr>
            <w:tcW w:w="1701" w:type="dxa"/>
            <w:tcBorders>
              <w:top w:val="single" w:sz="4" w:space="0" w:color="auto"/>
              <w:left w:val="single" w:sz="4" w:space="0" w:color="auto"/>
              <w:bottom w:val="single" w:sz="4" w:space="0" w:color="auto"/>
              <w:right w:val="single" w:sz="4" w:space="0" w:color="auto"/>
            </w:tcBorders>
            <w:hideMark/>
          </w:tcPr>
          <w:p w14:paraId="40B18241" w14:textId="77777777" w:rsidR="005E4184" w:rsidRDefault="005E4184">
            <w:pPr>
              <w:pStyle w:val="ListParagraph"/>
              <w:spacing w:before="60" w:after="60" w:line="240" w:lineRule="auto"/>
              <w:ind w:left="0"/>
              <w:jc w:val="right"/>
              <w:rPr>
                <w:rFonts w:ascii="Arial" w:hAnsi="Arial" w:cs="Arial"/>
                <w:sz w:val="20"/>
              </w:rPr>
            </w:pPr>
            <w:r>
              <w:rPr>
                <w:rFonts w:ascii="Arial" w:hAnsi="Arial" w:cs="Arial"/>
                <w:sz w:val="20"/>
              </w:rPr>
              <w:t>5 168 971</w:t>
            </w:r>
          </w:p>
        </w:tc>
        <w:tc>
          <w:tcPr>
            <w:tcW w:w="1276" w:type="dxa"/>
            <w:tcBorders>
              <w:top w:val="single" w:sz="4" w:space="0" w:color="auto"/>
              <w:left w:val="single" w:sz="4" w:space="0" w:color="auto"/>
              <w:bottom w:val="single" w:sz="4" w:space="0" w:color="auto"/>
              <w:right w:val="single" w:sz="4" w:space="0" w:color="auto"/>
            </w:tcBorders>
            <w:hideMark/>
          </w:tcPr>
          <w:p w14:paraId="74DEC948" w14:textId="77777777" w:rsidR="005E4184" w:rsidRDefault="005E4184">
            <w:pPr>
              <w:pStyle w:val="ListParagraph"/>
              <w:spacing w:before="60" w:after="60" w:line="240" w:lineRule="auto"/>
              <w:ind w:left="0"/>
              <w:jc w:val="right"/>
              <w:rPr>
                <w:rFonts w:ascii="Arial" w:hAnsi="Arial" w:cs="Arial"/>
                <w:sz w:val="20"/>
              </w:rPr>
            </w:pPr>
            <w:r>
              <w:rPr>
                <w:rFonts w:ascii="Arial" w:hAnsi="Arial" w:cs="Arial"/>
                <w:sz w:val="20"/>
              </w:rPr>
              <w:t>1 274 848</w:t>
            </w:r>
          </w:p>
        </w:tc>
        <w:tc>
          <w:tcPr>
            <w:tcW w:w="1134" w:type="dxa"/>
            <w:tcBorders>
              <w:top w:val="single" w:sz="4" w:space="0" w:color="auto"/>
              <w:left w:val="single" w:sz="4" w:space="0" w:color="auto"/>
              <w:bottom w:val="single" w:sz="4" w:space="0" w:color="auto"/>
              <w:right w:val="single" w:sz="4" w:space="0" w:color="auto"/>
            </w:tcBorders>
            <w:hideMark/>
          </w:tcPr>
          <w:p w14:paraId="21DCCEE9" w14:textId="77777777" w:rsidR="005E4184" w:rsidRDefault="005E4184">
            <w:pPr>
              <w:pStyle w:val="ListParagraph"/>
              <w:spacing w:before="60" w:after="60" w:line="240" w:lineRule="auto"/>
              <w:ind w:left="0"/>
              <w:rPr>
                <w:rFonts w:ascii="Arial" w:hAnsi="Arial" w:cs="Arial"/>
                <w:b/>
                <w:sz w:val="20"/>
              </w:rPr>
            </w:pPr>
            <w:r>
              <w:rPr>
                <w:rFonts w:ascii="Arial" w:hAnsi="Arial" w:cs="Arial"/>
                <w:b/>
                <w:sz w:val="20"/>
              </w:rPr>
              <w:t>6 443 819</w:t>
            </w:r>
          </w:p>
        </w:tc>
      </w:tr>
    </w:tbl>
    <w:p w14:paraId="5D4AACA2" w14:textId="77777777" w:rsidR="005E4184" w:rsidRDefault="005E4184" w:rsidP="005E4184">
      <w:pPr>
        <w:pStyle w:val="ListParagraph"/>
        <w:spacing w:line="360" w:lineRule="auto"/>
        <w:jc w:val="both"/>
        <w:rPr>
          <w:rFonts w:ascii="Arial" w:hAnsi="Arial" w:cs="Arial"/>
        </w:rPr>
      </w:pPr>
    </w:p>
    <w:p w14:paraId="7459A98A" w14:textId="77777777" w:rsidR="005E4184" w:rsidRDefault="005E4184" w:rsidP="005E4184">
      <w:pPr>
        <w:pStyle w:val="ListParagraph"/>
        <w:spacing w:line="360" w:lineRule="auto"/>
        <w:jc w:val="both"/>
        <w:rPr>
          <w:rFonts w:ascii="Arial" w:hAnsi="Arial" w:cs="Arial"/>
        </w:rPr>
      </w:pPr>
    </w:p>
    <w:p w14:paraId="2ECA1B0E" w14:textId="77777777" w:rsidR="005E4184" w:rsidRDefault="005E4184" w:rsidP="005E4184">
      <w:pPr>
        <w:pStyle w:val="ListParagraph"/>
        <w:spacing w:line="360" w:lineRule="auto"/>
        <w:jc w:val="both"/>
        <w:rPr>
          <w:rFonts w:ascii="Arial" w:hAnsi="Arial" w:cs="Arial"/>
        </w:rPr>
      </w:pPr>
    </w:p>
    <w:p w14:paraId="1A7CAEBF" w14:textId="77777777" w:rsidR="005E4184" w:rsidRDefault="005E4184" w:rsidP="005E4184">
      <w:pPr>
        <w:pStyle w:val="ListParagraph"/>
        <w:spacing w:line="360" w:lineRule="auto"/>
        <w:jc w:val="both"/>
        <w:rPr>
          <w:rFonts w:ascii="Arial" w:hAnsi="Arial" w:cs="Arial"/>
        </w:rPr>
      </w:pPr>
    </w:p>
    <w:p w14:paraId="3C4893E1" w14:textId="77777777" w:rsidR="005E4184" w:rsidRDefault="005E4184" w:rsidP="005E4184">
      <w:pPr>
        <w:pStyle w:val="ListParagraph"/>
        <w:spacing w:line="360" w:lineRule="auto"/>
        <w:jc w:val="both"/>
        <w:rPr>
          <w:rFonts w:ascii="Arial" w:hAnsi="Arial" w:cs="Arial"/>
        </w:rPr>
      </w:pPr>
    </w:p>
    <w:tbl>
      <w:tblPr>
        <w:tblStyle w:val="TableGrid"/>
        <w:tblW w:w="0" w:type="auto"/>
        <w:tblInd w:w="720" w:type="dxa"/>
        <w:tblLook w:val="04A0" w:firstRow="1" w:lastRow="0" w:firstColumn="1" w:lastColumn="0" w:noHBand="0" w:noVBand="1"/>
      </w:tblPr>
      <w:tblGrid>
        <w:gridCol w:w="1005"/>
        <w:gridCol w:w="1672"/>
        <w:gridCol w:w="1276"/>
        <w:gridCol w:w="1134"/>
      </w:tblGrid>
      <w:tr w:rsidR="005E4184" w14:paraId="7FD2C31A" w14:textId="77777777" w:rsidTr="005E4184">
        <w:tc>
          <w:tcPr>
            <w:tcW w:w="5087" w:type="dxa"/>
            <w:gridSpan w:val="4"/>
            <w:tcBorders>
              <w:top w:val="single" w:sz="4" w:space="0" w:color="auto"/>
              <w:left w:val="single" w:sz="4" w:space="0" w:color="auto"/>
              <w:bottom w:val="single" w:sz="4" w:space="0" w:color="auto"/>
              <w:right w:val="single" w:sz="4" w:space="0" w:color="auto"/>
            </w:tcBorders>
            <w:hideMark/>
          </w:tcPr>
          <w:p w14:paraId="320EE0CC" w14:textId="77777777" w:rsidR="005E4184" w:rsidRDefault="005E4184">
            <w:pPr>
              <w:pStyle w:val="ListParagraph"/>
              <w:spacing w:before="60" w:after="60" w:line="240" w:lineRule="auto"/>
              <w:ind w:left="0"/>
              <w:jc w:val="center"/>
              <w:rPr>
                <w:rFonts w:ascii="Arial" w:hAnsi="Arial" w:cs="Arial"/>
                <w:b/>
                <w:sz w:val="20"/>
              </w:rPr>
            </w:pPr>
            <w:r>
              <w:rPr>
                <w:rFonts w:ascii="Arial" w:hAnsi="Arial" w:cs="Arial"/>
                <w:b/>
                <w:sz w:val="20"/>
              </w:rPr>
              <w:lastRenderedPageBreak/>
              <w:t>2017/18</w:t>
            </w:r>
          </w:p>
        </w:tc>
      </w:tr>
      <w:tr w:rsidR="005E4184" w14:paraId="06B883B2" w14:textId="77777777" w:rsidTr="005E4184">
        <w:trPr>
          <w:trHeight w:val="849"/>
        </w:trPr>
        <w:tc>
          <w:tcPr>
            <w:tcW w:w="1005" w:type="dxa"/>
            <w:tcBorders>
              <w:top w:val="single" w:sz="4" w:space="0" w:color="auto"/>
              <w:left w:val="single" w:sz="4" w:space="0" w:color="auto"/>
              <w:bottom w:val="single" w:sz="4" w:space="0" w:color="auto"/>
              <w:right w:val="single" w:sz="4" w:space="0" w:color="auto"/>
            </w:tcBorders>
          </w:tcPr>
          <w:p w14:paraId="5393CA35" w14:textId="77777777" w:rsidR="005E4184" w:rsidRDefault="005E4184">
            <w:pPr>
              <w:pStyle w:val="ListParagraph"/>
              <w:spacing w:before="60" w:after="60" w:line="240" w:lineRule="auto"/>
              <w:ind w:left="0"/>
              <w:jc w:val="both"/>
              <w:rPr>
                <w:rFonts w:ascii="Arial" w:hAnsi="Arial" w:cs="Arial"/>
                <w:sz w:val="20"/>
              </w:rPr>
            </w:pPr>
          </w:p>
        </w:tc>
        <w:tc>
          <w:tcPr>
            <w:tcW w:w="1672" w:type="dxa"/>
            <w:tcBorders>
              <w:top w:val="single" w:sz="4" w:space="0" w:color="auto"/>
              <w:left w:val="single" w:sz="4" w:space="0" w:color="auto"/>
              <w:bottom w:val="single" w:sz="4" w:space="0" w:color="auto"/>
              <w:right w:val="single" w:sz="4" w:space="0" w:color="auto"/>
            </w:tcBorders>
            <w:hideMark/>
          </w:tcPr>
          <w:p w14:paraId="67C14691" w14:textId="77777777" w:rsidR="005E4184" w:rsidRDefault="005E4184">
            <w:pPr>
              <w:pStyle w:val="ListParagraph"/>
              <w:spacing w:before="60" w:after="60" w:line="240" w:lineRule="auto"/>
              <w:ind w:left="0"/>
              <w:jc w:val="center"/>
              <w:rPr>
                <w:rFonts w:ascii="Arial" w:hAnsi="Arial" w:cs="Arial"/>
                <w:b/>
                <w:sz w:val="20"/>
              </w:rPr>
            </w:pPr>
            <w:r>
              <w:rPr>
                <w:rFonts w:ascii="Arial" w:hAnsi="Arial" w:cs="Arial"/>
                <w:b/>
                <w:sz w:val="20"/>
              </w:rPr>
              <w:t>Compensation of Employee Costs</w:t>
            </w:r>
          </w:p>
          <w:p w14:paraId="7CBD176B" w14:textId="77777777" w:rsidR="005E4184" w:rsidRDefault="005E4184">
            <w:pPr>
              <w:pStyle w:val="ListParagraph"/>
              <w:spacing w:before="60" w:after="60" w:line="240" w:lineRule="auto"/>
              <w:ind w:left="0"/>
              <w:jc w:val="center"/>
              <w:rPr>
                <w:rFonts w:ascii="Arial" w:hAnsi="Arial" w:cs="Arial"/>
                <w:b/>
                <w:sz w:val="20"/>
              </w:rPr>
            </w:pPr>
            <w:r>
              <w:rPr>
                <w:rFonts w:ascii="Arial" w:hAnsi="Arial" w:cs="Arial"/>
                <w:b/>
                <w:sz w:val="20"/>
              </w:rPr>
              <w:t>R’000</w:t>
            </w:r>
          </w:p>
        </w:tc>
        <w:tc>
          <w:tcPr>
            <w:tcW w:w="1276" w:type="dxa"/>
            <w:tcBorders>
              <w:top w:val="single" w:sz="4" w:space="0" w:color="auto"/>
              <w:left w:val="single" w:sz="4" w:space="0" w:color="auto"/>
              <w:bottom w:val="single" w:sz="4" w:space="0" w:color="auto"/>
              <w:right w:val="single" w:sz="4" w:space="0" w:color="auto"/>
            </w:tcBorders>
            <w:hideMark/>
          </w:tcPr>
          <w:p w14:paraId="7D384F8A" w14:textId="77777777" w:rsidR="005E4184" w:rsidRDefault="005E4184">
            <w:pPr>
              <w:pStyle w:val="ListParagraph"/>
              <w:spacing w:before="60" w:after="60" w:line="240" w:lineRule="auto"/>
              <w:ind w:left="0"/>
              <w:jc w:val="center"/>
              <w:rPr>
                <w:rFonts w:ascii="Arial" w:hAnsi="Arial" w:cs="Arial"/>
                <w:b/>
                <w:sz w:val="20"/>
              </w:rPr>
            </w:pPr>
            <w:r>
              <w:rPr>
                <w:rFonts w:ascii="Arial" w:hAnsi="Arial" w:cs="Arial"/>
                <w:b/>
                <w:sz w:val="20"/>
              </w:rPr>
              <w:t>Subsidy Allocation</w:t>
            </w:r>
          </w:p>
          <w:p w14:paraId="74506215" w14:textId="77777777" w:rsidR="005E4184" w:rsidRDefault="005E4184">
            <w:pPr>
              <w:pStyle w:val="ListParagraph"/>
              <w:spacing w:before="60" w:after="60" w:line="240" w:lineRule="auto"/>
              <w:ind w:left="0"/>
              <w:jc w:val="center"/>
              <w:rPr>
                <w:rFonts w:ascii="Arial" w:hAnsi="Arial" w:cs="Arial"/>
                <w:b/>
                <w:sz w:val="20"/>
              </w:rPr>
            </w:pPr>
            <w:r>
              <w:rPr>
                <w:rFonts w:ascii="Arial" w:hAnsi="Arial" w:cs="Arial"/>
                <w:b/>
                <w:sz w:val="20"/>
              </w:rPr>
              <w:t>R’000</w:t>
            </w:r>
          </w:p>
        </w:tc>
        <w:tc>
          <w:tcPr>
            <w:tcW w:w="1134" w:type="dxa"/>
            <w:tcBorders>
              <w:top w:val="single" w:sz="4" w:space="0" w:color="auto"/>
              <w:left w:val="single" w:sz="4" w:space="0" w:color="auto"/>
              <w:bottom w:val="single" w:sz="4" w:space="0" w:color="auto"/>
              <w:right w:val="single" w:sz="4" w:space="0" w:color="auto"/>
            </w:tcBorders>
            <w:hideMark/>
          </w:tcPr>
          <w:p w14:paraId="4ACFB0B2" w14:textId="77777777" w:rsidR="005E4184" w:rsidRDefault="005E4184">
            <w:pPr>
              <w:pStyle w:val="ListParagraph"/>
              <w:spacing w:before="60" w:after="60" w:line="240" w:lineRule="auto"/>
              <w:ind w:left="0"/>
              <w:jc w:val="center"/>
              <w:rPr>
                <w:rFonts w:ascii="Arial" w:hAnsi="Arial" w:cs="Arial"/>
                <w:b/>
                <w:sz w:val="20"/>
              </w:rPr>
            </w:pPr>
            <w:r>
              <w:rPr>
                <w:rFonts w:ascii="Arial" w:hAnsi="Arial" w:cs="Arial"/>
                <w:b/>
                <w:sz w:val="20"/>
              </w:rPr>
              <w:t>Total</w:t>
            </w:r>
          </w:p>
          <w:p w14:paraId="1CBA7A41" w14:textId="77777777" w:rsidR="005E4184" w:rsidRDefault="005E4184">
            <w:pPr>
              <w:pStyle w:val="ListParagraph"/>
              <w:spacing w:before="60" w:after="60" w:line="240" w:lineRule="auto"/>
              <w:ind w:left="0"/>
              <w:jc w:val="center"/>
              <w:rPr>
                <w:rFonts w:ascii="Arial" w:hAnsi="Arial" w:cs="Arial"/>
                <w:b/>
                <w:sz w:val="20"/>
              </w:rPr>
            </w:pPr>
            <w:r>
              <w:rPr>
                <w:rFonts w:ascii="Arial" w:hAnsi="Arial" w:cs="Arial"/>
                <w:b/>
                <w:sz w:val="20"/>
              </w:rPr>
              <w:t>2017/18</w:t>
            </w:r>
          </w:p>
          <w:p w14:paraId="38F0BE12" w14:textId="77777777" w:rsidR="005E4184" w:rsidRDefault="005E4184">
            <w:pPr>
              <w:pStyle w:val="ListParagraph"/>
              <w:spacing w:before="60" w:after="60" w:line="240" w:lineRule="auto"/>
              <w:ind w:left="0"/>
              <w:jc w:val="center"/>
              <w:rPr>
                <w:rFonts w:ascii="Arial" w:hAnsi="Arial" w:cs="Arial"/>
                <w:b/>
                <w:sz w:val="20"/>
              </w:rPr>
            </w:pPr>
            <w:r>
              <w:rPr>
                <w:rFonts w:ascii="Arial" w:hAnsi="Arial" w:cs="Arial"/>
                <w:b/>
                <w:sz w:val="20"/>
              </w:rPr>
              <w:t>R’000</w:t>
            </w:r>
          </w:p>
        </w:tc>
      </w:tr>
      <w:tr w:rsidR="005E4184" w14:paraId="40A3E509" w14:textId="77777777" w:rsidTr="005E4184">
        <w:tc>
          <w:tcPr>
            <w:tcW w:w="1005" w:type="dxa"/>
            <w:tcBorders>
              <w:top w:val="single" w:sz="4" w:space="0" w:color="auto"/>
              <w:left w:val="single" w:sz="4" w:space="0" w:color="auto"/>
              <w:bottom w:val="single" w:sz="4" w:space="0" w:color="auto"/>
              <w:right w:val="single" w:sz="4" w:space="0" w:color="auto"/>
            </w:tcBorders>
            <w:hideMark/>
          </w:tcPr>
          <w:p w14:paraId="6FA0FE41" w14:textId="77777777" w:rsidR="005E4184" w:rsidRDefault="005E4184">
            <w:pPr>
              <w:pStyle w:val="ListParagraph"/>
              <w:spacing w:before="60" w:after="60" w:line="240" w:lineRule="auto"/>
              <w:ind w:left="0"/>
              <w:rPr>
                <w:rFonts w:ascii="Arial" w:hAnsi="Arial" w:cs="Arial"/>
                <w:b/>
                <w:sz w:val="20"/>
              </w:rPr>
            </w:pPr>
            <w:r>
              <w:rPr>
                <w:rFonts w:ascii="Arial" w:hAnsi="Arial" w:cs="Arial"/>
                <w:b/>
                <w:sz w:val="20"/>
              </w:rPr>
              <w:t>National Budget Total: TVET College</w:t>
            </w:r>
          </w:p>
        </w:tc>
        <w:tc>
          <w:tcPr>
            <w:tcW w:w="1672" w:type="dxa"/>
            <w:tcBorders>
              <w:top w:val="single" w:sz="4" w:space="0" w:color="auto"/>
              <w:left w:val="single" w:sz="4" w:space="0" w:color="auto"/>
              <w:bottom w:val="single" w:sz="4" w:space="0" w:color="auto"/>
              <w:right w:val="single" w:sz="4" w:space="0" w:color="auto"/>
            </w:tcBorders>
            <w:hideMark/>
          </w:tcPr>
          <w:p w14:paraId="0E470578" w14:textId="77777777" w:rsidR="005E4184" w:rsidRDefault="005E4184">
            <w:pPr>
              <w:pStyle w:val="ListParagraph"/>
              <w:spacing w:before="60" w:after="60" w:line="240" w:lineRule="auto"/>
              <w:ind w:left="0"/>
              <w:jc w:val="right"/>
              <w:rPr>
                <w:rFonts w:ascii="Arial" w:hAnsi="Arial" w:cs="Arial"/>
                <w:sz w:val="20"/>
              </w:rPr>
            </w:pPr>
            <w:r>
              <w:rPr>
                <w:rFonts w:ascii="Arial" w:hAnsi="Arial" w:cs="Arial"/>
                <w:sz w:val="20"/>
              </w:rPr>
              <w:t>5 535 383</w:t>
            </w:r>
          </w:p>
        </w:tc>
        <w:tc>
          <w:tcPr>
            <w:tcW w:w="1276" w:type="dxa"/>
            <w:tcBorders>
              <w:top w:val="single" w:sz="4" w:space="0" w:color="auto"/>
              <w:left w:val="single" w:sz="4" w:space="0" w:color="auto"/>
              <w:bottom w:val="single" w:sz="4" w:space="0" w:color="auto"/>
              <w:right w:val="single" w:sz="4" w:space="0" w:color="auto"/>
            </w:tcBorders>
            <w:hideMark/>
          </w:tcPr>
          <w:p w14:paraId="55A977D4" w14:textId="77777777" w:rsidR="005E4184" w:rsidRDefault="005E4184">
            <w:pPr>
              <w:pStyle w:val="ListParagraph"/>
              <w:spacing w:before="60" w:after="60" w:line="240" w:lineRule="auto"/>
              <w:ind w:left="0"/>
              <w:jc w:val="right"/>
              <w:rPr>
                <w:rFonts w:ascii="Arial" w:hAnsi="Arial" w:cs="Arial"/>
                <w:sz w:val="20"/>
              </w:rPr>
            </w:pPr>
            <w:r>
              <w:rPr>
                <w:rFonts w:ascii="Arial" w:hAnsi="Arial" w:cs="Arial"/>
                <w:sz w:val="20"/>
              </w:rPr>
              <w:t>1 328 096</w:t>
            </w:r>
          </w:p>
        </w:tc>
        <w:tc>
          <w:tcPr>
            <w:tcW w:w="1134" w:type="dxa"/>
            <w:tcBorders>
              <w:top w:val="single" w:sz="4" w:space="0" w:color="auto"/>
              <w:left w:val="single" w:sz="4" w:space="0" w:color="auto"/>
              <w:bottom w:val="single" w:sz="4" w:space="0" w:color="auto"/>
              <w:right w:val="single" w:sz="4" w:space="0" w:color="auto"/>
            </w:tcBorders>
            <w:hideMark/>
          </w:tcPr>
          <w:p w14:paraId="6166D26F" w14:textId="77777777" w:rsidR="005E4184" w:rsidRDefault="005E4184">
            <w:pPr>
              <w:pStyle w:val="ListParagraph"/>
              <w:spacing w:before="60" w:after="60" w:line="240" w:lineRule="auto"/>
              <w:ind w:left="0"/>
              <w:jc w:val="right"/>
              <w:rPr>
                <w:rFonts w:ascii="Arial" w:hAnsi="Arial" w:cs="Arial"/>
                <w:b/>
                <w:sz w:val="20"/>
              </w:rPr>
            </w:pPr>
            <w:r>
              <w:rPr>
                <w:rFonts w:ascii="Arial" w:hAnsi="Arial" w:cs="Arial"/>
                <w:b/>
                <w:sz w:val="20"/>
              </w:rPr>
              <w:t>6 863 479</w:t>
            </w:r>
          </w:p>
        </w:tc>
      </w:tr>
    </w:tbl>
    <w:p w14:paraId="6A9655A5" w14:textId="77777777" w:rsidR="005E4184" w:rsidRDefault="005E4184" w:rsidP="005E4184">
      <w:pPr>
        <w:spacing w:line="360" w:lineRule="auto"/>
        <w:jc w:val="both"/>
        <w:rPr>
          <w:rFonts w:ascii="Arial" w:hAnsi="Arial" w:cs="Arial"/>
          <w:b/>
        </w:rPr>
      </w:pPr>
    </w:p>
    <w:p w14:paraId="246090CE" w14:textId="77777777" w:rsidR="005E4184" w:rsidRDefault="005E4184" w:rsidP="005E4184">
      <w:pPr>
        <w:spacing w:line="360" w:lineRule="auto"/>
        <w:ind w:left="720"/>
        <w:jc w:val="both"/>
        <w:rPr>
          <w:rFonts w:ascii="Arial" w:hAnsi="Arial" w:cs="Arial"/>
        </w:rPr>
      </w:pPr>
      <w:r>
        <w:rPr>
          <w:rFonts w:ascii="Arial" w:hAnsi="Arial" w:cs="Arial"/>
          <w:b/>
        </w:rPr>
        <w:t>Note:</w:t>
      </w:r>
      <w:r>
        <w:rPr>
          <w:rFonts w:ascii="Arial" w:hAnsi="Arial" w:cs="Arial"/>
        </w:rPr>
        <w:t xml:space="preserve"> </w:t>
      </w:r>
    </w:p>
    <w:p w14:paraId="279FFDF6" w14:textId="77777777" w:rsidR="005E4184" w:rsidRDefault="005E4184" w:rsidP="005E4184">
      <w:pPr>
        <w:spacing w:line="360" w:lineRule="auto"/>
        <w:ind w:left="720"/>
        <w:jc w:val="both"/>
        <w:rPr>
          <w:rFonts w:ascii="Arial" w:hAnsi="Arial" w:cs="Arial"/>
        </w:rPr>
      </w:pPr>
      <w:r>
        <w:rPr>
          <w:rFonts w:ascii="Arial" w:hAnsi="Arial" w:cs="Arial"/>
          <w:b/>
        </w:rPr>
        <w:t>Compensation of Employee Costs</w:t>
      </w:r>
      <w:r>
        <w:rPr>
          <w:rFonts w:ascii="Arial" w:hAnsi="Arial" w:cs="Arial"/>
        </w:rPr>
        <w:t xml:space="preserve"> are salary related costs of all college employees who are appointed to offer Ministerial approved programmes, i.e. National Certificate (Vocational) and NATED programmes. The budget is retained by the Department to pay for the salaries related to these employees. </w:t>
      </w:r>
    </w:p>
    <w:p w14:paraId="3FDE9903" w14:textId="77777777" w:rsidR="005E4184" w:rsidRDefault="005E4184" w:rsidP="005E4184">
      <w:pPr>
        <w:spacing w:line="360" w:lineRule="auto"/>
        <w:ind w:left="720"/>
        <w:jc w:val="both"/>
        <w:rPr>
          <w:rFonts w:ascii="Arial" w:hAnsi="Arial" w:cs="Arial"/>
        </w:rPr>
      </w:pPr>
      <w:r>
        <w:rPr>
          <w:rFonts w:ascii="Arial" w:hAnsi="Arial" w:cs="Arial"/>
          <w:b/>
        </w:rPr>
        <w:t xml:space="preserve">Subsidy Allocation: </w:t>
      </w:r>
      <w:r>
        <w:rPr>
          <w:rFonts w:ascii="Arial" w:hAnsi="Arial" w:cs="Arial"/>
        </w:rPr>
        <w:t xml:space="preserve">This allocation is transferred to the colleges to cover for operational costs. In terms of the National Norms and Standards for Funding TVET Colleges, colleges are required to set aside 10% of their subsidy allocation to cover costs towards maintenance. </w:t>
      </w:r>
    </w:p>
    <w:p w14:paraId="59A0EF57" w14:textId="77777777" w:rsidR="005E4184" w:rsidRDefault="005E4184" w:rsidP="005E4184">
      <w:pPr>
        <w:spacing w:line="360" w:lineRule="auto"/>
        <w:ind w:left="720"/>
        <w:jc w:val="both"/>
        <w:rPr>
          <w:rFonts w:ascii="Arial" w:hAnsi="Arial" w:cs="Arial"/>
        </w:rPr>
      </w:pPr>
      <w:r>
        <w:rPr>
          <w:rFonts w:ascii="Arial" w:hAnsi="Arial" w:cs="Arial"/>
        </w:rPr>
        <w:t>It should be noted that since 2009, no earmarked capital infrastructure allocations have been received from National Treasury. Colleges are therefore expected to prioritise for the maintenance of infrastructure from their subsidy allocation, which is insufficient to provide for the effective maintenance and upkeep of infrastructure.</w:t>
      </w:r>
    </w:p>
    <w:p w14:paraId="39AF1441" w14:textId="59634309" w:rsidR="00531301" w:rsidRPr="00594A3F" w:rsidRDefault="002907A1" w:rsidP="007B111F">
      <w:pPr>
        <w:spacing w:line="360" w:lineRule="auto"/>
        <w:ind w:left="851" w:hanging="425"/>
        <w:jc w:val="both"/>
        <w:rPr>
          <w:rFonts w:ascii="Arial" w:hAnsi="Arial" w:cs="Arial"/>
        </w:rPr>
      </w:pPr>
      <w:r w:rsidRPr="00594A3F">
        <w:rPr>
          <w:rFonts w:ascii="Arial" w:hAnsi="Arial" w:cs="Arial"/>
        </w:rPr>
        <w:t xml:space="preserve">(b) </w:t>
      </w:r>
      <w:r w:rsidR="00DE037B" w:rsidRPr="00594A3F">
        <w:rPr>
          <w:rFonts w:ascii="Arial" w:hAnsi="Arial" w:cs="Arial"/>
        </w:rPr>
        <w:tab/>
      </w:r>
      <w:r w:rsidR="003C64FA">
        <w:rPr>
          <w:rFonts w:ascii="Arial" w:hAnsi="Arial" w:cs="Arial"/>
        </w:rPr>
        <w:t>As indicated above, the current funding is in</w:t>
      </w:r>
      <w:r w:rsidR="00353031" w:rsidRPr="00594A3F">
        <w:rPr>
          <w:rFonts w:ascii="Arial" w:hAnsi="Arial" w:cs="Arial"/>
        </w:rPr>
        <w:t xml:space="preserve">sufficient and </w:t>
      </w:r>
      <w:r w:rsidR="003C64FA">
        <w:rPr>
          <w:rFonts w:ascii="Arial" w:hAnsi="Arial" w:cs="Arial"/>
        </w:rPr>
        <w:t>a</w:t>
      </w:r>
      <w:r w:rsidRPr="00594A3F">
        <w:rPr>
          <w:rFonts w:ascii="Arial" w:hAnsi="Arial" w:cs="Arial"/>
        </w:rPr>
        <w:t>dditional funding is requi</w:t>
      </w:r>
      <w:r w:rsidR="00353031">
        <w:rPr>
          <w:rFonts w:ascii="Arial" w:hAnsi="Arial" w:cs="Arial"/>
        </w:rPr>
        <w:t>red to be able to provide TVET c</w:t>
      </w:r>
      <w:r w:rsidRPr="00594A3F">
        <w:rPr>
          <w:rFonts w:ascii="Arial" w:hAnsi="Arial" w:cs="Arial"/>
        </w:rPr>
        <w:t>olleges with earmarked capital a</w:t>
      </w:r>
      <w:r w:rsidR="00353031">
        <w:rPr>
          <w:rFonts w:ascii="Arial" w:hAnsi="Arial" w:cs="Arial"/>
        </w:rPr>
        <w:t>llocations to take care of back</w:t>
      </w:r>
      <w:r w:rsidRPr="00594A3F">
        <w:rPr>
          <w:rFonts w:ascii="Arial" w:hAnsi="Arial" w:cs="Arial"/>
        </w:rPr>
        <w:t xml:space="preserve">logs and current needs. </w:t>
      </w:r>
    </w:p>
    <w:p w14:paraId="62FFA47C" w14:textId="022623D6" w:rsidR="006126B9" w:rsidRPr="00594A3F" w:rsidRDefault="00353031" w:rsidP="00353031">
      <w:pPr>
        <w:spacing w:line="360" w:lineRule="auto"/>
        <w:ind w:left="720" w:hanging="720"/>
        <w:jc w:val="both"/>
        <w:rPr>
          <w:rFonts w:ascii="Arial" w:hAnsi="Arial" w:cs="Arial"/>
        </w:rPr>
      </w:pPr>
      <w:r>
        <w:rPr>
          <w:rFonts w:ascii="Arial" w:hAnsi="Arial" w:cs="Arial"/>
        </w:rPr>
        <w:t xml:space="preserve">(3) </w:t>
      </w:r>
      <w:r>
        <w:rPr>
          <w:rFonts w:ascii="Arial" w:hAnsi="Arial" w:cs="Arial"/>
        </w:rPr>
        <w:tab/>
      </w:r>
      <w:r w:rsidR="006126B9" w:rsidRPr="00594A3F">
        <w:rPr>
          <w:rFonts w:ascii="Arial" w:hAnsi="Arial" w:cs="Arial"/>
        </w:rPr>
        <w:t>At present there are no funds available in the baseline budget for infrastructure grants. The Department</w:t>
      </w:r>
      <w:r w:rsidR="00DE037B" w:rsidRPr="00594A3F">
        <w:rPr>
          <w:rFonts w:ascii="Arial" w:hAnsi="Arial" w:cs="Arial"/>
        </w:rPr>
        <w:t xml:space="preserve"> </w:t>
      </w:r>
      <w:r w:rsidR="00D51C5B" w:rsidRPr="00594A3F">
        <w:rPr>
          <w:rFonts w:ascii="Arial" w:hAnsi="Arial" w:cs="Arial"/>
        </w:rPr>
        <w:t>continuously</w:t>
      </w:r>
      <w:r w:rsidR="00DE037B" w:rsidRPr="00594A3F">
        <w:rPr>
          <w:rFonts w:ascii="Arial" w:hAnsi="Arial" w:cs="Arial"/>
        </w:rPr>
        <w:t xml:space="preserve"> submits </w:t>
      </w:r>
      <w:r w:rsidR="006126B9" w:rsidRPr="00594A3F">
        <w:rPr>
          <w:rFonts w:ascii="Arial" w:hAnsi="Arial" w:cs="Arial"/>
        </w:rPr>
        <w:t>bid</w:t>
      </w:r>
      <w:r w:rsidR="00DE037B" w:rsidRPr="00594A3F">
        <w:rPr>
          <w:rFonts w:ascii="Arial" w:hAnsi="Arial" w:cs="Arial"/>
        </w:rPr>
        <w:t xml:space="preserve">s to </w:t>
      </w:r>
      <w:r w:rsidR="007566BC">
        <w:rPr>
          <w:rFonts w:ascii="Arial" w:hAnsi="Arial" w:cs="Arial"/>
        </w:rPr>
        <w:t xml:space="preserve">National </w:t>
      </w:r>
      <w:r w:rsidR="00DE037B" w:rsidRPr="00594A3F">
        <w:rPr>
          <w:rFonts w:ascii="Arial" w:hAnsi="Arial" w:cs="Arial"/>
        </w:rPr>
        <w:t xml:space="preserve">Treasury </w:t>
      </w:r>
      <w:r w:rsidR="006126B9" w:rsidRPr="00594A3F">
        <w:rPr>
          <w:rFonts w:ascii="Arial" w:hAnsi="Arial" w:cs="Arial"/>
        </w:rPr>
        <w:t>for</w:t>
      </w:r>
      <w:r w:rsidR="00DE037B" w:rsidRPr="00594A3F">
        <w:rPr>
          <w:rFonts w:ascii="Arial" w:hAnsi="Arial" w:cs="Arial"/>
        </w:rPr>
        <w:t xml:space="preserve"> addition</w:t>
      </w:r>
      <w:r w:rsidR="00EF58D4" w:rsidRPr="00594A3F">
        <w:rPr>
          <w:rFonts w:ascii="Arial" w:hAnsi="Arial" w:cs="Arial"/>
        </w:rPr>
        <w:t>a</w:t>
      </w:r>
      <w:r w:rsidR="00DE037B" w:rsidRPr="00594A3F">
        <w:rPr>
          <w:rFonts w:ascii="Arial" w:hAnsi="Arial" w:cs="Arial"/>
        </w:rPr>
        <w:t>l</w:t>
      </w:r>
      <w:r w:rsidR="006126B9" w:rsidRPr="00594A3F">
        <w:rPr>
          <w:rFonts w:ascii="Arial" w:hAnsi="Arial" w:cs="Arial"/>
        </w:rPr>
        <w:t xml:space="preserve"> Infrastructure Grants. D</w:t>
      </w:r>
      <w:r w:rsidR="003C64FA">
        <w:rPr>
          <w:rFonts w:ascii="Arial" w:hAnsi="Arial" w:cs="Arial"/>
        </w:rPr>
        <w:t>ue to the current fiscal climate,</w:t>
      </w:r>
      <w:r w:rsidR="006126B9" w:rsidRPr="00594A3F">
        <w:rPr>
          <w:rFonts w:ascii="Arial" w:hAnsi="Arial" w:cs="Arial"/>
        </w:rPr>
        <w:t xml:space="preserve"> no addi</w:t>
      </w:r>
      <w:r>
        <w:rPr>
          <w:rFonts w:ascii="Arial" w:hAnsi="Arial" w:cs="Arial"/>
        </w:rPr>
        <w:t>tional funds have been secured.</w:t>
      </w:r>
    </w:p>
    <w:p w14:paraId="04560BE2" w14:textId="77777777" w:rsidR="00A37621" w:rsidRPr="00594A3F" w:rsidRDefault="00A37621" w:rsidP="00594A3F">
      <w:pPr>
        <w:spacing w:line="360" w:lineRule="auto"/>
        <w:jc w:val="both"/>
        <w:rPr>
          <w:rFonts w:ascii="Arial" w:hAnsi="Arial" w:cs="Arial"/>
        </w:rPr>
      </w:pPr>
    </w:p>
    <w:p w14:paraId="7412979E" w14:textId="77777777" w:rsidR="00A37621" w:rsidRPr="00594A3F" w:rsidRDefault="00A37621" w:rsidP="00594A3F">
      <w:pPr>
        <w:spacing w:line="360" w:lineRule="auto"/>
        <w:jc w:val="both"/>
        <w:rPr>
          <w:rFonts w:ascii="Arial" w:hAnsi="Arial" w:cs="Arial"/>
        </w:rPr>
      </w:pPr>
    </w:p>
    <w:p w14:paraId="5915CB27" w14:textId="40AC9784" w:rsidR="00A37621" w:rsidRPr="00594A3F" w:rsidRDefault="00A37621" w:rsidP="00594A3F">
      <w:pPr>
        <w:spacing w:line="360" w:lineRule="auto"/>
        <w:jc w:val="both"/>
        <w:rPr>
          <w:rFonts w:ascii="Arial" w:hAnsi="Arial" w:cs="Arial"/>
        </w:rPr>
      </w:pPr>
      <w:r w:rsidRPr="00594A3F">
        <w:rPr>
          <w:rFonts w:ascii="Arial" w:hAnsi="Arial" w:cs="Arial"/>
        </w:rPr>
        <w:lastRenderedPageBreak/>
        <w:t>COMPILER/CONTACT PERSONS:</w:t>
      </w:r>
      <w:r w:rsidR="007566BC">
        <w:rPr>
          <w:rFonts w:ascii="Arial" w:hAnsi="Arial" w:cs="Arial"/>
        </w:rPr>
        <w:t xml:space="preserve"> </w:t>
      </w:r>
      <w:r w:rsidR="007566BC" w:rsidRPr="007566BC">
        <w:rPr>
          <w:rFonts w:ascii="Arial" w:hAnsi="Arial" w:cs="Arial"/>
        </w:rPr>
        <w:t xml:space="preserve">Mr </w:t>
      </w:r>
      <w:r w:rsidR="007566BC">
        <w:rPr>
          <w:rFonts w:ascii="Arial" w:hAnsi="Arial" w:cs="Arial"/>
        </w:rPr>
        <w:t>S Mommen/</w:t>
      </w:r>
      <w:r w:rsidR="007566BC" w:rsidRPr="007566BC">
        <w:rPr>
          <w:rFonts w:ascii="Arial" w:hAnsi="Arial" w:cs="Arial"/>
        </w:rPr>
        <w:t xml:space="preserve">Ms </w:t>
      </w:r>
      <w:r w:rsidR="007566BC">
        <w:rPr>
          <w:rFonts w:ascii="Arial" w:hAnsi="Arial" w:cs="Arial"/>
        </w:rPr>
        <w:t xml:space="preserve">D </w:t>
      </w:r>
      <w:r w:rsidR="007566BC" w:rsidRPr="007566BC">
        <w:rPr>
          <w:rFonts w:ascii="Arial" w:hAnsi="Arial" w:cs="Arial"/>
        </w:rPr>
        <w:t>Masipa</w:t>
      </w:r>
      <w:r w:rsidR="007566BC">
        <w:rPr>
          <w:rFonts w:ascii="Arial" w:hAnsi="Arial" w:cs="Arial"/>
        </w:rPr>
        <w:t xml:space="preserve"> /</w:t>
      </w:r>
      <w:r w:rsidR="007566BC" w:rsidRPr="007566BC">
        <w:rPr>
          <w:rFonts w:ascii="Arial" w:hAnsi="Arial" w:cs="Arial"/>
        </w:rPr>
        <w:t xml:space="preserve">Ms </w:t>
      </w:r>
      <w:r w:rsidR="007566BC">
        <w:rPr>
          <w:rFonts w:ascii="Arial" w:hAnsi="Arial" w:cs="Arial"/>
        </w:rPr>
        <w:t xml:space="preserve">A </w:t>
      </w:r>
      <w:r w:rsidR="007566BC" w:rsidRPr="007566BC">
        <w:rPr>
          <w:rFonts w:ascii="Arial" w:hAnsi="Arial" w:cs="Arial"/>
        </w:rPr>
        <w:t xml:space="preserve">Singh/Ms </w:t>
      </w:r>
      <w:r w:rsidR="007566BC">
        <w:rPr>
          <w:rFonts w:ascii="Arial" w:hAnsi="Arial" w:cs="Arial"/>
        </w:rPr>
        <w:t xml:space="preserve">G </w:t>
      </w:r>
      <w:r w:rsidR="007566BC" w:rsidRPr="007566BC">
        <w:rPr>
          <w:rFonts w:ascii="Arial" w:hAnsi="Arial" w:cs="Arial"/>
        </w:rPr>
        <w:t>Magnus</w:t>
      </w:r>
    </w:p>
    <w:p w14:paraId="341F8BE8" w14:textId="2C5EC20B" w:rsidR="00A37621" w:rsidRPr="00594A3F" w:rsidRDefault="00A37621" w:rsidP="00594A3F">
      <w:pPr>
        <w:spacing w:line="360" w:lineRule="auto"/>
        <w:jc w:val="both"/>
        <w:rPr>
          <w:rFonts w:ascii="Arial" w:hAnsi="Arial" w:cs="Arial"/>
        </w:rPr>
      </w:pPr>
      <w:r w:rsidRPr="00594A3F">
        <w:rPr>
          <w:rFonts w:ascii="Arial" w:hAnsi="Arial" w:cs="Arial"/>
        </w:rPr>
        <w:t>EXT:</w:t>
      </w:r>
      <w:r w:rsidR="007566BC">
        <w:rPr>
          <w:rFonts w:ascii="Arial" w:hAnsi="Arial" w:cs="Arial"/>
        </w:rPr>
        <w:t xml:space="preserve"> 5458/5129/5791/5756</w:t>
      </w:r>
    </w:p>
    <w:p w14:paraId="39471CF9" w14:textId="77777777" w:rsidR="00A37621" w:rsidRPr="00594A3F" w:rsidRDefault="00A37621" w:rsidP="00594A3F">
      <w:pPr>
        <w:spacing w:line="360" w:lineRule="auto"/>
        <w:jc w:val="both"/>
        <w:rPr>
          <w:rFonts w:ascii="Arial" w:hAnsi="Arial" w:cs="Arial"/>
        </w:rPr>
      </w:pPr>
    </w:p>
    <w:p w14:paraId="782F4030" w14:textId="77777777" w:rsidR="00A37621" w:rsidRPr="00594A3F" w:rsidRDefault="00A37621" w:rsidP="00594A3F">
      <w:pPr>
        <w:spacing w:line="360" w:lineRule="auto"/>
        <w:jc w:val="both"/>
        <w:rPr>
          <w:rFonts w:ascii="Arial" w:hAnsi="Arial" w:cs="Arial"/>
        </w:rPr>
      </w:pPr>
    </w:p>
    <w:p w14:paraId="47BE796F" w14:textId="77777777" w:rsidR="00A37621" w:rsidRPr="00594A3F" w:rsidRDefault="00A37621" w:rsidP="00594A3F">
      <w:pPr>
        <w:spacing w:line="360" w:lineRule="auto"/>
        <w:jc w:val="both"/>
        <w:rPr>
          <w:rFonts w:ascii="Arial" w:hAnsi="Arial" w:cs="Arial"/>
        </w:rPr>
      </w:pPr>
    </w:p>
    <w:p w14:paraId="714564DF" w14:textId="77777777" w:rsidR="00A37621" w:rsidRPr="00594A3F" w:rsidRDefault="00A37621" w:rsidP="00594A3F">
      <w:pPr>
        <w:spacing w:line="360" w:lineRule="auto"/>
        <w:jc w:val="both"/>
        <w:rPr>
          <w:rFonts w:ascii="Arial" w:hAnsi="Arial" w:cs="Arial"/>
        </w:rPr>
      </w:pPr>
      <w:r w:rsidRPr="00594A3F">
        <w:rPr>
          <w:rFonts w:ascii="Arial" w:hAnsi="Arial" w:cs="Arial"/>
        </w:rPr>
        <w:t>DIRECTOR – GENERAL</w:t>
      </w:r>
    </w:p>
    <w:p w14:paraId="0E3BBF24" w14:textId="77777777" w:rsidR="00A37621" w:rsidRPr="00594A3F" w:rsidRDefault="00A37621" w:rsidP="00594A3F">
      <w:pPr>
        <w:spacing w:line="360" w:lineRule="auto"/>
        <w:jc w:val="both"/>
        <w:rPr>
          <w:rFonts w:ascii="Arial" w:hAnsi="Arial" w:cs="Arial"/>
        </w:rPr>
      </w:pPr>
      <w:r w:rsidRPr="00594A3F">
        <w:rPr>
          <w:rFonts w:ascii="Arial" w:hAnsi="Arial" w:cs="Arial"/>
        </w:rPr>
        <w:t>STATUS:</w:t>
      </w:r>
    </w:p>
    <w:p w14:paraId="252092EF" w14:textId="77777777" w:rsidR="00A37621" w:rsidRPr="00594A3F" w:rsidRDefault="00A37621" w:rsidP="00594A3F">
      <w:pPr>
        <w:spacing w:line="360" w:lineRule="auto"/>
        <w:jc w:val="both"/>
        <w:rPr>
          <w:rFonts w:ascii="Arial" w:hAnsi="Arial" w:cs="Arial"/>
        </w:rPr>
      </w:pPr>
      <w:r w:rsidRPr="00594A3F">
        <w:rPr>
          <w:rFonts w:ascii="Arial" w:hAnsi="Arial" w:cs="Arial"/>
        </w:rPr>
        <w:t>DATE:</w:t>
      </w:r>
    </w:p>
    <w:p w14:paraId="6DB19FE8" w14:textId="77777777" w:rsidR="00A37621" w:rsidRPr="00594A3F" w:rsidRDefault="00A37621" w:rsidP="00594A3F">
      <w:pPr>
        <w:spacing w:line="360" w:lineRule="auto"/>
        <w:jc w:val="both"/>
        <w:rPr>
          <w:rFonts w:ascii="Arial" w:hAnsi="Arial" w:cs="Arial"/>
        </w:rPr>
      </w:pPr>
    </w:p>
    <w:p w14:paraId="52507341" w14:textId="77777777" w:rsidR="00A37621" w:rsidRPr="00594A3F" w:rsidRDefault="00A37621" w:rsidP="00594A3F">
      <w:pPr>
        <w:spacing w:line="360" w:lineRule="auto"/>
        <w:jc w:val="both"/>
        <w:rPr>
          <w:rFonts w:ascii="Arial" w:hAnsi="Arial" w:cs="Arial"/>
        </w:rPr>
      </w:pPr>
    </w:p>
    <w:p w14:paraId="736254B5" w14:textId="77777777" w:rsidR="00A37621" w:rsidRPr="00594A3F" w:rsidRDefault="00A37621" w:rsidP="00594A3F">
      <w:pPr>
        <w:spacing w:line="360" w:lineRule="auto"/>
        <w:jc w:val="both"/>
        <w:rPr>
          <w:rFonts w:ascii="Arial" w:hAnsi="Arial" w:cs="Arial"/>
        </w:rPr>
      </w:pPr>
    </w:p>
    <w:p w14:paraId="1E58AAA1" w14:textId="77777777" w:rsidR="00A37621" w:rsidRPr="00594A3F" w:rsidRDefault="00A37621" w:rsidP="00594A3F">
      <w:pPr>
        <w:spacing w:line="360" w:lineRule="auto"/>
        <w:jc w:val="both"/>
        <w:rPr>
          <w:rFonts w:ascii="Arial" w:hAnsi="Arial" w:cs="Arial"/>
        </w:rPr>
      </w:pPr>
    </w:p>
    <w:p w14:paraId="4A96942A" w14:textId="77777777" w:rsidR="00A37621" w:rsidRPr="00594A3F" w:rsidRDefault="00A37621" w:rsidP="00594A3F">
      <w:pPr>
        <w:spacing w:line="360" w:lineRule="auto"/>
        <w:jc w:val="both"/>
        <w:rPr>
          <w:rFonts w:ascii="Arial" w:hAnsi="Arial" w:cs="Arial"/>
        </w:rPr>
      </w:pPr>
      <w:r w:rsidRPr="00594A3F">
        <w:rPr>
          <w:rFonts w:ascii="Arial" w:hAnsi="Arial" w:cs="Arial"/>
        </w:rPr>
        <w:t xml:space="preserve">QUESTION </w:t>
      </w:r>
      <w:r w:rsidR="00170F48" w:rsidRPr="00594A3F">
        <w:rPr>
          <w:rFonts w:ascii="Arial" w:hAnsi="Arial" w:cs="Arial"/>
        </w:rPr>
        <w:t>1911</w:t>
      </w:r>
      <w:r w:rsidRPr="00594A3F">
        <w:rPr>
          <w:rFonts w:ascii="Arial" w:hAnsi="Arial" w:cs="Arial"/>
        </w:rPr>
        <w:t xml:space="preserve"> APPROVED/NOT APPROVED/AMENDED </w:t>
      </w:r>
    </w:p>
    <w:p w14:paraId="0DBEF982" w14:textId="77777777" w:rsidR="00A37621" w:rsidRPr="00594A3F" w:rsidRDefault="00A37621" w:rsidP="00594A3F">
      <w:pPr>
        <w:spacing w:line="360" w:lineRule="auto"/>
        <w:jc w:val="both"/>
        <w:rPr>
          <w:rFonts w:ascii="Arial" w:hAnsi="Arial" w:cs="Arial"/>
        </w:rPr>
      </w:pPr>
    </w:p>
    <w:p w14:paraId="7276B96E" w14:textId="77777777" w:rsidR="00A37621" w:rsidRPr="00594A3F" w:rsidRDefault="00A37621" w:rsidP="00594A3F">
      <w:pPr>
        <w:spacing w:line="360" w:lineRule="auto"/>
        <w:jc w:val="both"/>
        <w:rPr>
          <w:rFonts w:ascii="Arial" w:hAnsi="Arial" w:cs="Arial"/>
        </w:rPr>
      </w:pPr>
    </w:p>
    <w:p w14:paraId="4FB49C8F" w14:textId="77777777" w:rsidR="00A37621" w:rsidRPr="00594A3F" w:rsidRDefault="00A37621" w:rsidP="00594A3F">
      <w:pPr>
        <w:spacing w:line="360" w:lineRule="auto"/>
        <w:jc w:val="both"/>
        <w:rPr>
          <w:rFonts w:ascii="Arial" w:hAnsi="Arial" w:cs="Arial"/>
        </w:rPr>
      </w:pPr>
    </w:p>
    <w:p w14:paraId="5EE6ED7E" w14:textId="77777777" w:rsidR="00A37621" w:rsidRPr="00594A3F" w:rsidRDefault="00A37621" w:rsidP="00594A3F">
      <w:pPr>
        <w:spacing w:line="360" w:lineRule="auto"/>
        <w:jc w:val="both"/>
        <w:rPr>
          <w:rFonts w:ascii="Arial" w:hAnsi="Arial" w:cs="Arial"/>
        </w:rPr>
      </w:pPr>
    </w:p>
    <w:p w14:paraId="5C31E8EB" w14:textId="77777777" w:rsidR="00A37621" w:rsidRPr="00594A3F" w:rsidRDefault="00A37621" w:rsidP="00594A3F">
      <w:pPr>
        <w:spacing w:line="360" w:lineRule="auto"/>
        <w:jc w:val="both"/>
        <w:rPr>
          <w:rFonts w:ascii="Arial" w:hAnsi="Arial" w:cs="Arial"/>
        </w:rPr>
      </w:pPr>
    </w:p>
    <w:p w14:paraId="01C159AA" w14:textId="0C5537FD" w:rsidR="00A37621" w:rsidRPr="00594A3F" w:rsidRDefault="00A37621" w:rsidP="00594A3F">
      <w:pPr>
        <w:spacing w:line="360" w:lineRule="auto"/>
        <w:jc w:val="both"/>
        <w:rPr>
          <w:rFonts w:ascii="Arial" w:hAnsi="Arial" w:cs="Arial"/>
        </w:rPr>
      </w:pPr>
      <w:r w:rsidRPr="00594A3F">
        <w:rPr>
          <w:rFonts w:ascii="Arial" w:hAnsi="Arial" w:cs="Arial"/>
        </w:rPr>
        <w:t>Dr B</w:t>
      </w:r>
      <w:r w:rsidR="00594A3F">
        <w:rPr>
          <w:rFonts w:ascii="Arial" w:hAnsi="Arial" w:cs="Arial"/>
        </w:rPr>
        <w:t>E</w:t>
      </w:r>
      <w:r w:rsidRPr="00594A3F">
        <w:rPr>
          <w:rFonts w:ascii="Arial" w:hAnsi="Arial" w:cs="Arial"/>
        </w:rPr>
        <w:t xml:space="preserve"> NZIMANDE, MP</w:t>
      </w:r>
    </w:p>
    <w:p w14:paraId="71997D83" w14:textId="77777777" w:rsidR="00A37621" w:rsidRPr="00594A3F" w:rsidRDefault="00A37621" w:rsidP="00594A3F">
      <w:pPr>
        <w:spacing w:line="360" w:lineRule="auto"/>
        <w:jc w:val="both"/>
        <w:rPr>
          <w:rFonts w:ascii="Arial" w:hAnsi="Arial" w:cs="Arial"/>
        </w:rPr>
      </w:pPr>
      <w:r w:rsidRPr="00594A3F">
        <w:rPr>
          <w:rFonts w:ascii="Arial" w:hAnsi="Arial" w:cs="Arial"/>
        </w:rPr>
        <w:t>MINISTER OF HIGHER EDUCATION AND TRAINING</w:t>
      </w:r>
    </w:p>
    <w:p w14:paraId="2870F19F" w14:textId="77777777" w:rsidR="00A37621" w:rsidRPr="00594A3F" w:rsidRDefault="00A37621" w:rsidP="00594A3F">
      <w:pPr>
        <w:spacing w:line="360" w:lineRule="auto"/>
        <w:jc w:val="both"/>
        <w:rPr>
          <w:rFonts w:ascii="Arial" w:hAnsi="Arial" w:cs="Arial"/>
        </w:rPr>
      </w:pPr>
      <w:r w:rsidRPr="00594A3F">
        <w:rPr>
          <w:rFonts w:ascii="Arial" w:hAnsi="Arial" w:cs="Arial"/>
        </w:rPr>
        <w:t>STATUS:</w:t>
      </w:r>
    </w:p>
    <w:p w14:paraId="0FF221E1" w14:textId="77777777" w:rsidR="00D812CE" w:rsidRPr="00594A3F" w:rsidRDefault="00A37621" w:rsidP="00594A3F">
      <w:pPr>
        <w:spacing w:line="360" w:lineRule="auto"/>
        <w:jc w:val="both"/>
        <w:rPr>
          <w:rFonts w:ascii="Arial" w:hAnsi="Arial" w:cs="Arial"/>
        </w:rPr>
      </w:pPr>
      <w:r w:rsidRPr="00594A3F">
        <w:rPr>
          <w:rFonts w:ascii="Arial" w:hAnsi="Arial" w:cs="Arial"/>
        </w:rPr>
        <w:t>DATE:</w:t>
      </w:r>
    </w:p>
    <w:sectPr w:rsidR="00D812CE" w:rsidRPr="00594A3F" w:rsidSect="003C64FA">
      <w:pgSz w:w="12240" w:h="15840" w:code="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1">
    <w:nsid w:val="09DE2F6E"/>
    <w:multiLevelType w:val="hybridMultilevel"/>
    <w:tmpl w:val="2A94C0B2"/>
    <w:lvl w:ilvl="0" w:tplc="F2E4A11C">
      <w:start w:val="4"/>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25842E5"/>
    <w:multiLevelType w:val="hybridMultilevel"/>
    <w:tmpl w:val="E062B9D8"/>
    <w:lvl w:ilvl="0" w:tplc="E7CADD2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5">
    <w:nsid w:val="28F87AA3"/>
    <w:multiLevelType w:val="hybridMultilevel"/>
    <w:tmpl w:val="5E7E9A4E"/>
    <w:lvl w:ilvl="0" w:tplc="DBEA1D6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332C6E16"/>
    <w:multiLevelType w:val="hybridMultilevel"/>
    <w:tmpl w:val="C98802BC"/>
    <w:lvl w:ilvl="0" w:tplc="E6B2CD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7968C9"/>
    <w:multiLevelType w:val="hybridMultilevel"/>
    <w:tmpl w:val="00AC1514"/>
    <w:lvl w:ilvl="0" w:tplc="CF6AB5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431751"/>
    <w:multiLevelType w:val="hybridMultilevel"/>
    <w:tmpl w:val="4300DE9A"/>
    <w:lvl w:ilvl="0" w:tplc="2AE4D6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10">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11">
    <w:nsid w:val="60AF5E61"/>
    <w:multiLevelType w:val="hybridMultilevel"/>
    <w:tmpl w:val="8EE6B26C"/>
    <w:lvl w:ilvl="0" w:tplc="517ED0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69F362F1"/>
    <w:multiLevelType w:val="hybridMultilevel"/>
    <w:tmpl w:val="00AC1514"/>
    <w:lvl w:ilvl="0" w:tplc="CF6AB5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A38328B"/>
    <w:multiLevelType w:val="hybridMultilevel"/>
    <w:tmpl w:val="D2E08D90"/>
    <w:lvl w:ilvl="0" w:tplc="CF6AB5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0E7221B"/>
    <w:multiLevelType w:val="hybridMultilevel"/>
    <w:tmpl w:val="00AC1514"/>
    <w:lvl w:ilvl="0" w:tplc="CF6AB5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17">
    <w:nsid w:val="750F051A"/>
    <w:multiLevelType w:val="hybridMultilevel"/>
    <w:tmpl w:val="D8EC7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9">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20">
    <w:nsid w:val="7DF873DD"/>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num w:numId="1">
    <w:abstractNumId w:val="0"/>
  </w:num>
  <w:num w:numId="2">
    <w:abstractNumId w:val="20"/>
  </w:num>
  <w:num w:numId="3">
    <w:abstractNumId w:val="12"/>
  </w:num>
  <w:num w:numId="4">
    <w:abstractNumId w:val="2"/>
  </w:num>
  <w:num w:numId="5">
    <w:abstractNumId w:val="19"/>
  </w:num>
  <w:num w:numId="6">
    <w:abstractNumId w:val="10"/>
  </w:num>
  <w:num w:numId="7">
    <w:abstractNumId w:val="16"/>
  </w:num>
  <w:num w:numId="8">
    <w:abstractNumId w:val="9"/>
  </w:num>
  <w:num w:numId="9">
    <w:abstractNumId w:val="18"/>
  </w:num>
  <w:num w:numId="10">
    <w:abstractNumId w:val="4"/>
  </w:num>
  <w:num w:numId="11">
    <w:abstractNumId w:val="6"/>
  </w:num>
  <w:num w:numId="12">
    <w:abstractNumId w:val="15"/>
  </w:num>
  <w:num w:numId="13">
    <w:abstractNumId w:val="17"/>
  </w:num>
  <w:num w:numId="14">
    <w:abstractNumId w:val="11"/>
  </w:num>
  <w:num w:numId="15">
    <w:abstractNumId w:val="13"/>
  </w:num>
  <w:num w:numId="16">
    <w:abstractNumId w:val="7"/>
  </w:num>
  <w:num w:numId="17">
    <w:abstractNumId w:val="8"/>
  </w:num>
  <w:num w:numId="18">
    <w:abstractNumId w:val="14"/>
  </w:num>
  <w:num w:numId="19">
    <w:abstractNumId w:val="3"/>
  </w:num>
  <w:num w:numId="20">
    <w:abstractNumId w:val="5"/>
  </w:num>
  <w:num w:numId="21">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58"/>
    <w:rsid w:val="00004C60"/>
    <w:rsid w:val="0000638E"/>
    <w:rsid w:val="0001216C"/>
    <w:rsid w:val="000260DC"/>
    <w:rsid w:val="000262F1"/>
    <w:rsid w:val="00036A4D"/>
    <w:rsid w:val="0004093A"/>
    <w:rsid w:val="0004639E"/>
    <w:rsid w:val="000579B9"/>
    <w:rsid w:val="00063A3A"/>
    <w:rsid w:val="00066BC3"/>
    <w:rsid w:val="00075314"/>
    <w:rsid w:val="00083064"/>
    <w:rsid w:val="00087811"/>
    <w:rsid w:val="000A02C9"/>
    <w:rsid w:val="000A0D33"/>
    <w:rsid w:val="000B221D"/>
    <w:rsid w:val="000F4759"/>
    <w:rsid w:val="000F62AA"/>
    <w:rsid w:val="00102241"/>
    <w:rsid w:val="0010402E"/>
    <w:rsid w:val="0010795D"/>
    <w:rsid w:val="00125282"/>
    <w:rsid w:val="00127F6D"/>
    <w:rsid w:val="00135E62"/>
    <w:rsid w:val="00147BA4"/>
    <w:rsid w:val="0015436C"/>
    <w:rsid w:val="00154A43"/>
    <w:rsid w:val="0017030D"/>
    <w:rsid w:val="00170F48"/>
    <w:rsid w:val="001824D4"/>
    <w:rsid w:val="00191755"/>
    <w:rsid w:val="001A01DC"/>
    <w:rsid w:val="001A1252"/>
    <w:rsid w:val="001A277A"/>
    <w:rsid w:val="001C33B5"/>
    <w:rsid w:val="001C6A3B"/>
    <w:rsid w:val="001D3D9C"/>
    <w:rsid w:val="001D7C6A"/>
    <w:rsid w:val="001E36DF"/>
    <w:rsid w:val="001E6F96"/>
    <w:rsid w:val="001F4B7D"/>
    <w:rsid w:val="001F7DEE"/>
    <w:rsid w:val="0020681E"/>
    <w:rsid w:val="0020779F"/>
    <w:rsid w:val="00217678"/>
    <w:rsid w:val="002264C4"/>
    <w:rsid w:val="00245A6B"/>
    <w:rsid w:val="00247CDD"/>
    <w:rsid w:val="00250110"/>
    <w:rsid w:val="00253A84"/>
    <w:rsid w:val="00264295"/>
    <w:rsid w:val="00265A26"/>
    <w:rsid w:val="00265A88"/>
    <w:rsid w:val="002670F8"/>
    <w:rsid w:val="00270825"/>
    <w:rsid w:val="00270D17"/>
    <w:rsid w:val="00272B15"/>
    <w:rsid w:val="002811BB"/>
    <w:rsid w:val="00281AF9"/>
    <w:rsid w:val="002907A1"/>
    <w:rsid w:val="0029157E"/>
    <w:rsid w:val="002937B8"/>
    <w:rsid w:val="0029445D"/>
    <w:rsid w:val="002A7DF4"/>
    <w:rsid w:val="002C16FF"/>
    <w:rsid w:val="002C1EE8"/>
    <w:rsid w:val="002C55C5"/>
    <w:rsid w:val="002C60A6"/>
    <w:rsid w:val="002C6D99"/>
    <w:rsid w:val="002D1424"/>
    <w:rsid w:val="002D2564"/>
    <w:rsid w:val="002E3161"/>
    <w:rsid w:val="002F4DC9"/>
    <w:rsid w:val="002F6B49"/>
    <w:rsid w:val="00300C93"/>
    <w:rsid w:val="00305BF7"/>
    <w:rsid w:val="00313A4B"/>
    <w:rsid w:val="00315B13"/>
    <w:rsid w:val="003250AF"/>
    <w:rsid w:val="003309B5"/>
    <w:rsid w:val="0034213A"/>
    <w:rsid w:val="00344509"/>
    <w:rsid w:val="0034605E"/>
    <w:rsid w:val="003461B2"/>
    <w:rsid w:val="003517A1"/>
    <w:rsid w:val="00351E0F"/>
    <w:rsid w:val="00353031"/>
    <w:rsid w:val="0035694A"/>
    <w:rsid w:val="00356B7E"/>
    <w:rsid w:val="00357637"/>
    <w:rsid w:val="00361776"/>
    <w:rsid w:val="00364239"/>
    <w:rsid w:val="00366A3A"/>
    <w:rsid w:val="00367DC6"/>
    <w:rsid w:val="00375823"/>
    <w:rsid w:val="0037732E"/>
    <w:rsid w:val="00387EBB"/>
    <w:rsid w:val="00394593"/>
    <w:rsid w:val="003A7BFD"/>
    <w:rsid w:val="003B48F6"/>
    <w:rsid w:val="003C58DC"/>
    <w:rsid w:val="003C5A76"/>
    <w:rsid w:val="003C6284"/>
    <w:rsid w:val="003C64FA"/>
    <w:rsid w:val="003D5AE8"/>
    <w:rsid w:val="003D7858"/>
    <w:rsid w:val="003D790C"/>
    <w:rsid w:val="003E2F70"/>
    <w:rsid w:val="003E455E"/>
    <w:rsid w:val="00410478"/>
    <w:rsid w:val="004170C3"/>
    <w:rsid w:val="00422B30"/>
    <w:rsid w:val="004312FC"/>
    <w:rsid w:val="00431B32"/>
    <w:rsid w:val="00431B42"/>
    <w:rsid w:val="0043279D"/>
    <w:rsid w:val="00435E33"/>
    <w:rsid w:val="004457FC"/>
    <w:rsid w:val="00457688"/>
    <w:rsid w:val="00463025"/>
    <w:rsid w:val="004672ED"/>
    <w:rsid w:val="004800DC"/>
    <w:rsid w:val="00491C5B"/>
    <w:rsid w:val="00492A36"/>
    <w:rsid w:val="004965B4"/>
    <w:rsid w:val="004B7E13"/>
    <w:rsid w:val="004C4F38"/>
    <w:rsid w:val="004C54F6"/>
    <w:rsid w:val="004D2BE1"/>
    <w:rsid w:val="004D74FD"/>
    <w:rsid w:val="004E0458"/>
    <w:rsid w:val="004E566F"/>
    <w:rsid w:val="00504B93"/>
    <w:rsid w:val="00506E45"/>
    <w:rsid w:val="005127E5"/>
    <w:rsid w:val="005223B8"/>
    <w:rsid w:val="005237E8"/>
    <w:rsid w:val="00531301"/>
    <w:rsid w:val="00532713"/>
    <w:rsid w:val="0054768E"/>
    <w:rsid w:val="00550767"/>
    <w:rsid w:val="00552E00"/>
    <w:rsid w:val="005577D9"/>
    <w:rsid w:val="0056647C"/>
    <w:rsid w:val="00571740"/>
    <w:rsid w:val="00574DBC"/>
    <w:rsid w:val="00585D0E"/>
    <w:rsid w:val="005920D5"/>
    <w:rsid w:val="00594A3F"/>
    <w:rsid w:val="005A1C6B"/>
    <w:rsid w:val="005A46E3"/>
    <w:rsid w:val="005B4004"/>
    <w:rsid w:val="005B696E"/>
    <w:rsid w:val="005C0BA4"/>
    <w:rsid w:val="005C1FBC"/>
    <w:rsid w:val="005C2051"/>
    <w:rsid w:val="005C4278"/>
    <w:rsid w:val="005C5AE9"/>
    <w:rsid w:val="005C6ED1"/>
    <w:rsid w:val="005D0DA9"/>
    <w:rsid w:val="005D461A"/>
    <w:rsid w:val="005E4184"/>
    <w:rsid w:val="005E7F9E"/>
    <w:rsid w:val="005F16B5"/>
    <w:rsid w:val="005F4881"/>
    <w:rsid w:val="005F63EC"/>
    <w:rsid w:val="00602765"/>
    <w:rsid w:val="00602A89"/>
    <w:rsid w:val="006034E7"/>
    <w:rsid w:val="00604366"/>
    <w:rsid w:val="006061B4"/>
    <w:rsid w:val="006126B9"/>
    <w:rsid w:val="00613250"/>
    <w:rsid w:val="006172DA"/>
    <w:rsid w:val="00620EFD"/>
    <w:rsid w:val="00621FE9"/>
    <w:rsid w:val="0063048F"/>
    <w:rsid w:val="00632EDF"/>
    <w:rsid w:val="00637B55"/>
    <w:rsid w:val="00646994"/>
    <w:rsid w:val="00653C00"/>
    <w:rsid w:val="006552F7"/>
    <w:rsid w:val="0065728F"/>
    <w:rsid w:val="006623AF"/>
    <w:rsid w:val="006639B1"/>
    <w:rsid w:val="00667ADE"/>
    <w:rsid w:val="00680089"/>
    <w:rsid w:val="006810E5"/>
    <w:rsid w:val="0068734A"/>
    <w:rsid w:val="006906B4"/>
    <w:rsid w:val="00691C91"/>
    <w:rsid w:val="006965DC"/>
    <w:rsid w:val="00697B7E"/>
    <w:rsid w:val="006A5D9D"/>
    <w:rsid w:val="006B132D"/>
    <w:rsid w:val="006B438D"/>
    <w:rsid w:val="006B5024"/>
    <w:rsid w:val="006E3002"/>
    <w:rsid w:val="006E3244"/>
    <w:rsid w:val="006F3A6E"/>
    <w:rsid w:val="00702601"/>
    <w:rsid w:val="00702F9A"/>
    <w:rsid w:val="00707E92"/>
    <w:rsid w:val="007141FA"/>
    <w:rsid w:val="00714E5D"/>
    <w:rsid w:val="00714E82"/>
    <w:rsid w:val="0071591A"/>
    <w:rsid w:val="00740B88"/>
    <w:rsid w:val="00743818"/>
    <w:rsid w:val="00743B02"/>
    <w:rsid w:val="0075304B"/>
    <w:rsid w:val="0075414E"/>
    <w:rsid w:val="00755ED4"/>
    <w:rsid w:val="007566BC"/>
    <w:rsid w:val="00763A07"/>
    <w:rsid w:val="00766ABE"/>
    <w:rsid w:val="00766ADD"/>
    <w:rsid w:val="00770DA0"/>
    <w:rsid w:val="007775FD"/>
    <w:rsid w:val="007810CD"/>
    <w:rsid w:val="00783AE6"/>
    <w:rsid w:val="007B111F"/>
    <w:rsid w:val="007B1D95"/>
    <w:rsid w:val="007B4860"/>
    <w:rsid w:val="007C27B6"/>
    <w:rsid w:val="007C7109"/>
    <w:rsid w:val="007D7318"/>
    <w:rsid w:val="007E2295"/>
    <w:rsid w:val="007E26C5"/>
    <w:rsid w:val="007E667A"/>
    <w:rsid w:val="007F068D"/>
    <w:rsid w:val="007F2479"/>
    <w:rsid w:val="007F2ADC"/>
    <w:rsid w:val="007F2D3C"/>
    <w:rsid w:val="007F2D57"/>
    <w:rsid w:val="007F7092"/>
    <w:rsid w:val="0080256A"/>
    <w:rsid w:val="00807715"/>
    <w:rsid w:val="00810FD4"/>
    <w:rsid w:val="00814FBE"/>
    <w:rsid w:val="00824D7E"/>
    <w:rsid w:val="008455F2"/>
    <w:rsid w:val="00857AAF"/>
    <w:rsid w:val="00866723"/>
    <w:rsid w:val="00874346"/>
    <w:rsid w:val="00875C6C"/>
    <w:rsid w:val="0088522F"/>
    <w:rsid w:val="00885BE0"/>
    <w:rsid w:val="008950F7"/>
    <w:rsid w:val="008A4422"/>
    <w:rsid w:val="008A5D41"/>
    <w:rsid w:val="008A666F"/>
    <w:rsid w:val="008B65EA"/>
    <w:rsid w:val="008B6923"/>
    <w:rsid w:val="008C1D05"/>
    <w:rsid w:val="008C68C5"/>
    <w:rsid w:val="008C7B8D"/>
    <w:rsid w:val="008D1EC2"/>
    <w:rsid w:val="008D4FC0"/>
    <w:rsid w:val="008D633E"/>
    <w:rsid w:val="008E1777"/>
    <w:rsid w:val="0090251A"/>
    <w:rsid w:val="009033B5"/>
    <w:rsid w:val="00906DE8"/>
    <w:rsid w:val="00907B99"/>
    <w:rsid w:val="009135C0"/>
    <w:rsid w:val="00914499"/>
    <w:rsid w:val="00925943"/>
    <w:rsid w:val="00933AC1"/>
    <w:rsid w:val="00933C19"/>
    <w:rsid w:val="0093534E"/>
    <w:rsid w:val="00944E86"/>
    <w:rsid w:val="00945E56"/>
    <w:rsid w:val="0095081D"/>
    <w:rsid w:val="00963DA4"/>
    <w:rsid w:val="009642B8"/>
    <w:rsid w:val="009754EB"/>
    <w:rsid w:val="00983CE4"/>
    <w:rsid w:val="009849D9"/>
    <w:rsid w:val="00984DEB"/>
    <w:rsid w:val="00987AE7"/>
    <w:rsid w:val="009954C4"/>
    <w:rsid w:val="009A0102"/>
    <w:rsid w:val="009A0326"/>
    <w:rsid w:val="009A0F27"/>
    <w:rsid w:val="009A4385"/>
    <w:rsid w:val="009B0CF1"/>
    <w:rsid w:val="009B0E09"/>
    <w:rsid w:val="009B13A3"/>
    <w:rsid w:val="009B4543"/>
    <w:rsid w:val="009C1C15"/>
    <w:rsid w:val="009C332A"/>
    <w:rsid w:val="009D010F"/>
    <w:rsid w:val="009D3C62"/>
    <w:rsid w:val="009E5B1D"/>
    <w:rsid w:val="009F072D"/>
    <w:rsid w:val="009F3FAA"/>
    <w:rsid w:val="009F5D4E"/>
    <w:rsid w:val="009F6FEA"/>
    <w:rsid w:val="00A009CF"/>
    <w:rsid w:val="00A0228E"/>
    <w:rsid w:val="00A03F44"/>
    <w:rsid w:val="00A173E2"/>
    <w:rsid w:val="00A22634"/>
    <w:rsid w:val="00A37101"/>
    <w:rsid w:val="00A37621"/>
    <w:rsid w:val="00A4607B"/>
    <w:rsid w:val="00A51526"/>
    <w:rsid w:val="00A8120A"/>
    <w:rsid w:val="00A858CE"/>
    <w:rsid w:val="00A86CC6"/>
    <w:rsid w:val="00A9633F"/>
    <w:rsid w:val="00AA246C"/>
    <w:rsid w:val="00AA3944"/>
    <w:rsid w:val="00AB0621"/>
    <w:rsid w:val="00AB0CF1"/>
    <w:rsid w:val="00AC5AB2"/>
    <w:rsid w:val="00AD7E6B"/>
    <w:rsid w:val="00AE0682"/>
    <w:rsid w:val="00AE3241"/>
    <w:rsid w:val="00AF749C"/>
    <w:rsid w:val="00B10FD3"/>
    <w:rsid w:val="00B122E9"/>
    <w:rsid w:val="00B12389"/>
    <w:rsid w:val="00B16C29"/>
    <w:rsid w:val="00B32FD8"/>
    <w:rsid w:val="00B4178D"/>
    <w:rsid w:val="00B42D63"/>
    <w:rsid w:val="00B43DD3"/>
    <w:rsid w:val="00B50230"/>
    <w:rsid w:val="00B757E2"/>
    <w:rsid w:val="00B8067B"/>
    <w:rsid w:val="00B8505E"/>
    <w:rsid w:val="00B93D55"/>
    <w:rsid w:val="00B9731E"/>
    <w:rsid w:val="00BC6170"/>
    <w:rsid w:val="00BD2317"/>
    <w:rsid w:val="00BE1AAF"/>
    <w:rsid w:val="00BE2524"/>
    <w:rsid w:val="00BF11EB"/>
    <w:rsid w:val="00C31C40"/>
    <w:rsid w:val="00C357BA"/>
    <w:rsid w:val="00C3677B"/>
    <w:rsid w:val="00C37956"/>
    <w:rsid w:val="00C42323"/>
    <w:rsid w:val="00C441E6"/>
    <w:rsid w:val="00C45603"/>
    <w:rsid w:val="00C50064"/>
    <w:rsid w:val="00C5638F"/>
    <w:rsid w:val="00C5785E"/>
    <w:rsid w:val="00C61C59"/>
    <w:rsid w:val="00C62B07"/>
    <w:rsid w:val="00C62E1F"/>
    <w:rsid w:val="00C654A2"/>
    <w:rsid w:val="00C66848"/>
    <w:rsid w:val="00C72AC2"/>
    <w:rsid w:val="00C73D89"/>
    <w:rsid w:val="00C85674"/>
    <w:rsid w:val="00C865AF"/>
    <w:rsid w:val="00C8668A"/>
    <w:rsid w:val="00C9549B"/>
    <w:rsid w:val="00CA1F30"/>
    <w:rsid w:val="00CA541F"/>
    <w:rsid w:val="00CB4850"/>
    <w:rsid w:val="00CB5B44"/>
    <w:rsid w:val="00CB7FE9"/>
    <w:rsid w:val="00CC0CBD"/>
    <w:rsid w:val="00CC52EC"/>
    <w:rsid w:val="00CC53DC"/>
    <w:rsid w:val="00CD33FE"/>
    <w:rsid w:val="00CE323E"/>
    <w:rsid w:val="00CF0B4E"/>
    <w:rsid w:val="00D00C74"/>
    <w:rsid w:val="00D0621E"/>
    <w:rsid w:val="00D066CD"/>
    <w:rsid w:val="00D104BB"/>
    <w:rsid w:val="00D114C4"/>
    <w:rsid w:val="00D167B0"/>
    <w:rsid w:val="00D27A1C"/>
    <w:rsid w:val="00D27EF0"/>
    <w:rsid w:val="00D322D6"/>
    <w:rsid w:val="00D356B7"/>
    <w:rsid w:val="00D35872"/>
    <w:rsid w:val="00D376A7"/>
    <w:rsid w:val="00D50818"/>
    <w:rsid w:val="00D516B0"/>
    <w:rsid w:val="00D51C5B"/>
    <w:rsid w:val="00D62110"/>
    <w:rsid w:val="00D63390"/>
    <w:rsid w:val="00D6369F"/>
    <w:rsid w:val="00D65A88"/>
    <w:rsid w:val="00D65D79"/>
    <w:rsid w:val="00D812CE"/>
    <w:rsid w:val="00D847C6"/>
    <w:rsid w:val="00D8583F"/>
    <w:rsid w:val="00D90D19"/>
    <w:rsid w:val="00D95878"/>
    <w:rsid w:val="00DA34D8"/>
    <w:rsid w:val="00DA6319"/>
    <w:rsid w:val="00DA76F7"/>
    <w:rsid w:val="00DB0A5E"/>
    <w:rsid w:val="00DB497C"/>
    <w:rsid w:val="00DB7628"/>
    <w:rsid w:val="00DC256F"/>
    <w:rsid w:val="00DC3665"/>
    <w:rsid w:val="00DD6D16"/>
    <w:rsid w:val="00DE037B"/>
    <w:rsid w:val="00DE6F6F"/>
    <w:rsid w:val="00DF55B9"/>
    <w:rsid w:val="00E02103"/>
    <w:rsid w:val="00E103E5"/>
    <w:rsid w:val="00E34FBD"/>
    <w:rsid w:val="00E360EA"/>
    <w:rsid w:val="00E50360"/>
    <w:rsid w:val="00E601E4"/>
    <w:rsid w:val="00E67736"/>
    <w:rsid w:val="00E73AA7"/>
    <w:rsid w:val="00E7473E"/>
    <w:rsid w:val="00E77758"/>
    <w:rsid w:val="00E84848"/>
    <w:rsid w:val="00E91847"/>
    <w:rsid w:val="00EA1D34"/>
    <w:rsid w:val="00EA2661"/>
    <w:rsid w:val="00EA2B3A"/>
    <w:rsid w:val="00EB1F29"/>
    <w:rsid w:val="00EC0BF2"/>
    <w:rsid w:val="00EC6E65"/>
    <w:rsid w:val="00ED5C53"/>
    <w:rsid w:val="00EE020F"/>
    <w:rsid w:val="00EE0B7C"/>
    <w:rsid w:val="00EE3380"/>
    <w:rsid w:val="00EE45C1"/>
    <w:rsid w:val="00EE60BC"/>
    <w:rsid w:val="00EF58D4"/>
    <w:rsid w:val="00EF63E0"/>
    <w:rsid w:val="00EF642C"/>
    <w:rsid w:val="00F00655"/>
    <w:rsid w:val="00F04C73"/>
    <w:rsid w:val="00F077DE"/>
    <w:rsid w:val="00F177A6"/>
    <w:rsid w:val="00F454CC"/>
    <w:rsid w:val="00F476E9"/>
    <w:rsid w:val="00F61F23"/>
    <w:rsid w:val="00F62865"/>
    <w:rsid w:val="00F6484F"/>
    <w:rsid w:val="00F73556"/>
    <w:rsid w:val="00F73D24"/>
    <w:rsid w:val="00F74316"/>
    <w:rsid w:val="00F774ED"/>
    <w:rsid w:val="00F81CC3"/>
    <w:rsid w:val="00F850E2"/>
    <w:rsid w:val="00F85DFA"/>
    <w:rsid w:val="00F901D3"/>
    <w:rsid w:val="00F95079"/>
    <w:rsid w:val="00F95BB9"/>
    <w:rsid w:val="00FA1432"/>
    <w:rsid w:val="00FA3CFC"/>
    <w:rsid w:val="00FA63E7"/>
    <w:rsid w:val="00FB0272"/>
    <w:rsid w:val="00FC1A3C"/>
    <w:rsid w:val="00FC36DD"/>
    <w:rsid w:val="00FC5FE4"/>
    <w:rsid w:val="00FC7A05"/>
    <w:rsid w:val="00FD70E2"/>
    <w:rsid w:val="00FE0721"/>
    <w:rsid w:val="00FE2D7E"/>
    <w:rsid w:val="00FE322A"/>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947CA8"/>
  <w15:docId w15:val="{21AB45E3-9E4F-414D-9856-BE2A6904E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397194573">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27C45-559D-46C7-AD69-DD251543A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715</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4782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Parker, Diane</dc:creator>
  <cp:lastModifiedBy>Pillay.Demitra</cp:lastModifiedBy>
  <cp:revision>2</cp:revision>
  <cp:lastPrinted>2017-07-07T08:44:00Z</cp:lastPrinted>
  <dcterms:created xsi:type="dcterms:W3CDTF">2017-07-07T08:45:00Z</dcterms:created>
  <dcterms:modified xsi:type="dcterms:W3CDTF">2017-07-07T08:45:00Z</dcterms:modified>
</cp:coreProperties>
</file>