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A56" w:rsidRPr="00565488" w:rsidRDefault="00294A56" w:rsidP="00294A56">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565488">
        <w:rPr>
          <w:rFonts w:ascii="Arial" w:hAnsi="Arial" w:cs="Arial"/>
          <w:sz w:val="18"/>
          <w:szCs w:val="18"/>
          <w:lang w:val="en-ZA"/>
        </w:rPr>
        <w:t>Official reply:</w:t>
      </w:r>
      <w:r w:rsidR="00086221">
        <w:rPr>
          <w:rFonts w:ascii="Arial" w:hAnsi="Arial" w:cs="Arial"/>
          <w:sz w:val="18"/>
          <w:szCs w:val="18"/>
          <w:lang w:val="en-ZA"/>
        </w:rPr>
        <w:t xml:space="preserve"> 12 October 2017</w:t>
      </w:r>
    </w:p>
    <w:p w:rsidR="00294A56" w:rsidRPr="002E7CD1" w:rsidRDefault="00294A56" w:rsidP="00294A56">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NATIONAL ASSEMBLY</w:t>
      </w:r>
    </w:p>
    <w:p w:rsidR="00294A56" w:rsidRPr="007F7CEF" w:rsidRDefault="00294A56" w:rsidP="00294A56">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294A56" w:rsidRPr="007F7CEF" w:rsidRDefault="00294A56" w:rsidP="00294A56">
      <w:pPr>
        <w:rPr>
          <w:rFonts w:ascii="Arial" w:hAnsi="Arial" w:cs="Arial"/>
          <w:lang w:val="en-ZA"/>
        </w:rPr>
      </w:pPr>
      <w:r w:rsidRPr="007F7CEF">
        <w:rPr>
          <w:rFonts w:ascii="Arial" w:hAnsi="Arial" w:cs="Arial"/>
          <w:lang w:val="en-ZA"/>
        </w:rPr>
        <w:t xml:space="preserve">Date of publication on internal question paper: </w:t>
      </w:r>
      <w:r>
        <w:rPr>
          <w:rFonts w:ascii="Arial" w:hAnsi="Arial" w:cs="Arial"/>
          <w:lang w:val="en-ZA"/>
        </w:rPr>
        <w:t>23 June 2017</w:t>
      </w:r>
    </w:p>
    <w:p w:rsidR="00294A56" w:rsidRPr="007F7CEF" w:rsidRDefault="00294A56" w:rsidP="00294A56">
      <w:pPr>
        <w:rPr>
          <w:rFonts w:ascii="Arial" w:hAnsi="Arial" w:cs="Arial"/>
          <w:lang w:val="en-ZA"/>
        </w:rPr>
      </w:pPr>
      <w:r w:rsidRPr="007F7CEF">
        <w:rPr>
          <w:rFonts w:ascii="Arial" w:hAnsi="Arial" w:cs="Arial"/>
          <w:lang w:val="en-ZA"/>
        </w:rPr>
        <w:t>Internal question paper no:</w:t>
      </w:r>
      <w:r>
        <w:rPr>
          <w:rFonts w:ascii="Arial" w:hAnsi="Arial" w:cs="Arial"/>
          <w:lang w:val="en-ZA"/>
        </w:rPr>
        <w:t xml:space="preserve"> 23</w:t>
      </w:r>
      <w:bookmarkStart w:id="0" w:name="_GoBack"/>
      <w:bookmarkEnd w:id="0"/>
    </w:p>
    <w:p w:rsidR="00294A56" w:rsidRPr="007F7CEF" w:rsidRDefault="00294A56" w:rsidP="00294A56">
      <w:pPr>
        <w:rPr>
          <w:rFonts w:ascii="Arial" w:hAnsi="Arial" w:cs="Arial"/>
        </w:rPr>
      </w:pPr>
    </w:p>
    <w:p w:rsidR="00294A56" w:rsidRPr="00991DBC" w:rsidRDefault="00294A56" w:rsidP="00294A56">
      <w:pPr>
        <w:spacing w:before="100" w:beforeAutospacing="1" w:after="100" w:afterAutospacing="1"/>
        <w:ind w:left="816" w:hanging="816"/>
        <w:rPr>
          <w:rFonts w:ascii="Arial" w:hAnsi="Arial" w:cs="Arial"/>
          <w:lang w:val="en-GB"/>
        </w:rPr>
      </w:pPr>
      <w:r w:rsidRPr="00991DBC">
        <w:rPr>
          <w:rFonts w:ascii="Arial" w:hAnsi="Arial" w:cs="Arial"/>
          <w:b/>
          <w:lang w:val="en-GB"/>
        </w:rPr>
        <w:t>1902.</w:t>
      </w:r>
      <w:r w:rsidRPr="00991DBC">
        <w:rPr>
          <w:rFonts w:ascii="Arial" w:hAnsi="Arial" w:cs="Arial"/>
          <w:b/>
          <w:lang w:val="en-GB"/>
        </w:rPr>
        <w:tab/>
        <w:t>Ms N P Sonti (EFF) to ask the Minister of Social Development:</w:t>
      </w:r>
    </w:p>
    <w:p w:rsidR="00294A56" w:rsidRDefault="00294A56" w:rsidP="00294A56">
      <w:pPr>
        <w:spacing w:before="100" w:beforeAutospacing="1" w:after="100" w:afterAutospacing="1"/>
        <w:jc w:val="both"/>
        <w:rPr>
          <w:rFonts w:ascii="Arial" w:hAnsi="Arial" w:cs="Arial"/>
        </w:rPr>
      </w:pPr>
      <w:r w:rsidRPr="00991DBC">
        <w:rPr>
          <w:rFonts w:ascii="Arial" w:hAnsi="Arial" w:cs="Arial"/>
          <w:lang w:val="en-GB"/>
        </w:rPr>
        <w:t xml:space="preserve">Whether (a) her department and (b) each entity reporting to her appointed transaction advisors for tenders in the period 1 January 2012 to 31 December 2016; if so, (i) who were the transaction advisors that were appointed for the tenders, (ii) for which tenders were they appointed, (iii) what was the pricing for the tenders in question and (iv) what </w:t>
      </w:r>
      <w:r w:rsidRPr="005F15B0">
        <w:rPr>
          <w:rFonts w:ascii="Arial" w:hAnsi="Arial" w:cs="Arial"/>
          <w:lang w:val="en-GB"/>
        </w:rPr>
        <w:t>amount were the transaction advisors paid? NW2114E</w:t>
      </w:r>
      <w:r w:rsidRPr="005F15B0">
        <w:rPr>
          <w:rFonts w:ascii="Arial" w:hAnsi="Arial" w:cs="Arial"/>
          <w:lang w:val="en-GB"/>
        </w:rPr>
        <w:tab/>
      </w:r>
      <w:r w:rsidRPr="005F15B0">
        <w:rPr>
          <w:rFonts w:ascii="Arial" w:hAnsi="Arial" w:cs="Arial"/>
          <w:lang w:val="en-GB"/>
        </w:rPr>
        <w:tab/>
      </w:r>
    </w:p>
    <w:p w:rsidR="00AF1C98" w:rsidRPr="00197708" w:rsidRDefault="00AF1C98" w:rsidP="00566BCF">
      <w:pPr>
        <w:spacing w:before="100" w:beforeAutospacing="1" w:after="100" w:afterAutospacing="1"/>
        <w:jc w:val="both"/>
        <w:rPr>
          <w:rFonts w:ascii="Arial" w:hAnsi="Arial" w:cs="Arial"/>
          <w:b/>
          <w:noProof/>
          <w:color w:val="000000" w:themeColor="text1"/>
          <w:lang w:val="af-ZA"/>
        </w:rPr>
      </w:pPr>
      <w:r w:rsidRPr="00197708">
        <w:rPr>
          <w:rFonts w:ascii="Arial" w:hAnsi="Arial" w:cs="Arial"/>
          <w:b/>
        </w:rPr>
        <w:t>Reply:</w:t>
      </w:r>
    </w:p>
    <w:p w:rsidR="000E6939" w:rsidRDefault="00210D09" w:rsidP="00AF1C98">
      <w:pPr>
        <w:rPr>
          <w:rFonts w:ascii="Arial" w:hAnsi="Arial" w:cs="Arial"/>
        </w:rPr>
      </w:pPr>
      <w:r>
        <w:rPr>
          <w:rFonts w:ascii="Arial" w:hAnsi="Arial" w:cs="Arial"/>
        </w:rPr>
        <w:t>(a) No</w:t>
      </w:r>
    </w:p>
    <w:p w:rsidR="00210D09" w:rsidRDefault="00210D09" w:rsidP="00AF1C98">
      <w:pPr>
        <w:rPr>
          <w:rFonts w:ascii="Arial" w:hAnsi="Arial" w:cs="Arial"/>
        </w:rPr>
      </w:pPr>
      <w:r>
        <w:rPr>
          <w:rFonts w:ascii="Arial" w:hAnsi="Arial" w:cs="Arial"/>
        </w:rPr>
        <w:t>(b)NDA- No</w:t>
      </w:r>
    </w:p>
    <w:p w:rsidR="00512847" w:rsidRDefault="00512847" w:rsidP="00AF1C98">
      <w:pPr>
        <w:rPr>
          <w:rFonts w:ascii="Arial" w:hAnsi="Arial" w:cs="Arial"/>
        </w:rPr>
      </w:pPr>
    </w:p>
    <w:tbl>
      <w:tblPr>
        <w:tblStyle w:val="TableGrid"/>
        <w:tblW w:w="0" w:type="auto"/>
        <w:tblLook w:val="04A0" w:firstRow="1" w:lastRow="0" w:firstColumn="1" w:lastColumn="0" w:noHBand="0" w:noVBand="1"/>
      </w:tblPr>
      <w:tblGrid>
        <w:gridCol w:w="2216"/>
        <w:gridCol w:w="1567"/>
        <w:gridCol w:w="1865"/>
        <w:gridCol w:w="1706"/>
        <w:gridCol w:w="1662"/>
      </w:tblGrid>
      <w:tr w:rsidR="00210D09" w:rsidTr="00210D09">
        <w:tc>
          <w:tcPr>
            <w:tcW w:w="2216" w:type="dxa"/>
          </w:tcPr>
          <w:p w:rsidR="00210D09" w:rsidRPr="00AF1C98" w:rsidRDefault="00512847" w:rsidP="00566BCF">
            <w:pPr>
              <w:rPr>
                <w:rFonts w:ascii="Arial" w:hAnsi="Arial" w:cs="Arial"/>
                <w:b/>
                <w:sz w:val="22"/>
                <w:szCs w:val="22"/>
              </w:rPr>
            </w:pPr>
            <w:r>
              <w:rPr>
                <w:rFonts w:ascii="Arial" w:hAnsi="Arial" w:cs="Arial"/>
                <w:b/>
                <w:sz w:val="22"/>
                <w:szCs w:val="22"/>
              </w:rPr>
              <w:t xml:space="preserve"> </w:t>
            </w:r>
            <w:r w:rsidR="00210D09">
              <w:rPr>
                <w:rFonts w:ascii="Arial" w:hAnsi="Arial" w:cs="Arial"/>
                <w:b/>
                <w:sz w:val="22"/>
                <w:szCs w:val="22"/>
              </w:rPr>
              <w:t>(a)</w:t>
            </w:r>
            <w:r w:rsidR="00210D09" w:rsidRPr="00AF1C98">
              <w:rPr>
                <w:rFonts w:ascii="Arial" w:hAnsi="Arial" w:cs="Arial"/>
                <w:b/>
                <w:sz w:val="22"/>
                <w:szCs w:val="22"/>
              </w:rPr>
              <w:t xml:space="preserve"> Department/Entity</w:t>
            </w:r>
          </w:p>
        </w:tc>
        <w:tc>
          <w:tcPr>
            <w:tcW w:w="1567" w:type="dxa"/>
          </w:tcPr>
          <w:p w:rsidR="00210D09" w:rsidRPr="00AF1C98" w:rsidRDefault="00210D09" w:rsidP="00AF1C98">
            <w:pPr>
              <w:rPr>
                <w:rFonts w:ascii="Arial" w:hAnsi="Arial" w:cs="Arial"/>
                <w:b/>
                <w:sz w:val="22"/>
                <w:szCs w:val="22"/>
              </w:rPr>
            </w:pPr>
            <w:r>
              <w:rPr>
                <w:rFonts w:ascii="Arial" w:hAnsi="Arial" w:cs="Arial"/>
                <w:b/>
                <w:sz w:val="22"/>
                <w:szCs w:val="22"/>
              </w:rPr>
              <w:t>(i) Name of transaction advisor</w:t>
            </w:r>
          </w:p>
        </w:tc>
        <w:tc>
          <w:tcPr>
            <w:tcW w:w="1865" w:type="dxa"/>
          </w:tcPr>
          <w:p w:rsidR="00210D09" w:rsidRPr="00AF1C98" w:rsidRDefault="00210D09" w:rsidP="00566BCF">
            <w:pPr>
              <w:rPr>
                <w:rFonts w:ascii="Arial" w:hAnsi="Arial" w:cs="Arial"/>
                <w:b/>
                <w:sz w:val="22"/>
                <w:szCs w:val="22"/>
              </w:rPr>
            </w:pPr>
            <w:r w:rsidRPr="00AF1C98">
              <w:rPr>
                <w:rFonts w:ascii="Arial" w:hAnsi="Arial" w:cs="Arial"/>
                <w:b/>
                <w:sz w:val="22"/>
                <w:szCs w:val="22"/>
              </w:rPr>
              <w:t>(ii)</w:t>
            </w:r>
            <w:r>
              <w:rPr>
                <w:rFonts w:ascii="Arial" w:hAnsi="Arial" w:cs="Arial"/>
                <w:b/>
                <w:sz w:val="22"/>
                <w:szCs w:val="22"/>
              </w:rPr>
              <w:t xml:space="preserve"> Tenders</w:t>
            </w:r>
          </w:p>
        </w:tc>
        <w:tc>
          <w:tcPr>
            <w:tcW w:w="1706" w:type="dxa"/>
          </w:tcPr>
          <w:p w:rsidR="00210D09" w:rsidRPr="00AF1C98" w:rsidRDefault="00210D09" w:rsidP="00AF1C98">
            <w:pPr>
              <w:rPr>
                <w:rFonts w:ascii="Arial" w:hAnsi="Arial" w:cs="Arial"/>
                <w:b/>
                <w:sz w:val="22"/>
                <w:szCs w:val="22"/>
              </w:rPr>
            </w:pPr>
            <w:r w:rsidRPr="00AF1C98">
              <w:rPr>
                <w:rFonts w:ascii="Arial" w:hAnsi="Arial" w:cs="Arial"/>
                <w:b/>
                <w:sz w:val="22"/>
                <w:szCs w:val="22"/>
              </w:rPr>
              <w:t xml:space="preserve">(aaa) </w:t>
            </w:r>
            <w:r>
              <w:rPr>
                <w:rFonts w:ascii="Arial" w:hAnsi="Arial" w:cs="Arial"/>
                <w:b/>
                <w:sz w:val="22"/>
                <w:szCs w:val="22"/>
              </w:rPr>
              <w:t xml:space="preserve">Pricing </w:t>
            </w:r>
          </w:p>
        </w:tc>
        <w:tc>
          <w:tcPr>
            <w:tcW w:w="1662" w:type="dxa"/>
          </w:tcPr>
          <w:p w:rsidR="00210D09" w:rsidRPr="00AF1C98" w:rsidRDefault="00210D09" w:rsidP="00210D09">
            <w:pPr>
              <w:rPr>
                <w:rFonts w:ascii="Arial" w:hAnsi="Arial" w:cs="Arial"/>
                <w:b/>
                <w:sz w:val="22"/>
                <w:szCs w:val="22"/>
              </w:rPr>
            </w:pPr>
            <w:r w:rsidRPr="00AF1C98">
              <w:rPr>
                <w:rFonts w:ascii="Arial" w:hAnsi="Arial" w:cs="Arial"/>
                <w:b/>
                <w:sz w:val="22"/>
                <w:szCs w:val="22"/>
              </w:rPr>
              <w:t>(</w:t>
            </w:r>
            <w:r>
              <w:rPr>
                <w:rFonts w:ascii="Arial" w:hAnsi="Arial" w:cs="Arial"/>
                <w:b/>
                <w:sz w:val="22"/>
                <w:szCs w:val="22"/>
              </w:rPr>
              <w:t xml:space="preserve">iv Amount </w:t>
            </w:r>
          </w:p>
        </w:tc>
      </w:tr>
      <w:tr w:rsidR="00210D09" w:rsidRPr="00AF1C98" w:rsidTr="00210D09">
        <w:tc>
          <w:tcPr>
            <w:tcW w:w="2216" w:type="dxa"/>
          </w:tcPr>
          <w:p w:rsidR="00210D09" w:rsidRPr="00AF1C98" w:rsidRDefault="00210D09" w:rsidP="00566BCF">
            <w:pPr>
              <w:rPr>
                <w:rFonts w:ascii="Arial" w:hAnsi="Arial" w:cs="Arial"/>
                <w:sz w:val="22"/>
                <w:szCs w:val="22"/>
              </w:rPr>
            </w:pPr>
            <w:r w:rsidRPr="00AF1C98">
              <w:rPr>
                <w:rFonts w:ascii="Arial" w:hAnsi="Arial" w:cs="Arial"/>
                <w:sz w:val="22"/>
                <w:szCs w:val="22"/>
              </w:rPr>
              <w:t>DSD</w:t>
            </w:r>
          </w:p>
        </w:tc>
        <w:tc>
          <w:tcPr>
            <w:tcW w:w="1567" w:type="dxa"/>
          </w:tcPr>
          <w:p w:rsidR="00210D09" w:rsidRPr="00AF1C98" w:rsidRDefault="00210D09" w:rsidP="00566BCF">
            <w:pPr>
              <w:rPr>
                <w:rFonts w:ascii="Arial" w:hAnsi="Arial" w:cs="Arial"/>
                <w:sz w:val="22"/>
                <w:szCs w:val="22"/>
              </w:rPr>
            </w:pPr>
            <w:r>
              <w:rPr>
                <w:rFonts w:ascii="Arial" w:hAnsi="Arial" w:cs="Arial"/>
                <w:sz w:val="22"/>
                <w:szCs w:val="22"/>
              </w:rPr>
              <w:t>Not Applicable</w:t>
            </w:r>
          </w:p>
        </w:tc>
        <w:tc>
          <w:tcPr>
            <w:tcW w:w="1865" w:type="dxa"/>
          </w:tcPr>
          <w:p w:rsidR="00210D09" w:rsidRPr="00AF1C98" w:rsidRDefault="00210D09" w:rsidP="00566BCF">
            <w:pPr>
              <w:rPr>
                <w:rFonts w:ascii="Arial" w:hAnsi="Arial" w:cs="Arial"/>
                <w:sz w:val="22"/>
                <w:szCs w:val="22"/>
              </w:rPr>
            </w:pPr>
            <w:r>
              <w:rPr>
                <w:rFonts w:ascii="Arial" w:hAnsi="Arial" w:cs="Arial"/>
                <w:sz w:val="22"/>
                <w:szCs w:val="22"/>
              </w:rPr>
              <w:t xml:space="preserve">Not Applicable </w:t>
            </w:r>
          </w:p>
        </w:tc>
        <w:tc>
          <w:tcPr>
            <w:tcW w:w="1706" w:type="dxa"/>
          </w:tcPr>
          <w:p w:rsidR="00210D09" w:rsidRPr="00AF1C98" w:rsidRDefault="00210D09" w:rsidP="00566BCF">
            <w:pPr>
              <w:rPr>
                <w:rFonts w:ascii="Arial" w:hAnsi="Arial" w:cs="Arial"/>
                <w:sz w:val="22"/>
                <w:szCs w:val="22"/>
              </w:rPr>
            </w:pPr>
            <w:r>
              <w:rPr>
                <w:rFonts w:ascii="Arial" w:hAnsi="Arial" w:cs="Arial"/>
                <w:sz w:val="22"/>
                <w:szCs w:val="22"/>
              </w:rPr>
              <w:t xml:space="preserve">Not Applicable </w:t>
            </w:r>
          </w:p>
        </w:tc>
        <w:tc>
          <w:tcPr>
            <w:tcW w:w="1662" w:type="dxa"/>
          </w:tcPr>
          <w:p w:rsidR="00210D09" w:rsidRPr="00AF1C98" w:rsidRDefault="00210D09" w:rsidP="00210D09">
            <w:pPr>
              <w:rPr>
                <w:rFonts w:ascii="Arial" w:hAnsi="Arial" w:cs="Arial"/>
                <w:sz w:val="22"/>
                <w:szCs w:val="22"/>
              </w:rPr>
            </w:pPr>
            <w:r>
              <w:rPr>
                <w:rFonts w:ascii="Arial" w:hAnsi="Arial" w:cs="Arial"/>
                <w:sz w:val="22"/>
                <w:szCs w:val="22"/>
              </w:rPr>
              <w:t>Not Applicable</w:t>
            </w:r>
          </w:p>
        </w:tc>
      </w:tr>
      <w:tr w:rsidR="00210D09" w:rsidRPr="00AF1C98" w:rsidTr="00210D09">
        <w:tc>
          <w:tcPr>
            <w:tcW w:w="2216" w:type="dxa"/>
          </w:tcPr>
          <w:p w:rsidR="00210D09" w:rsidRPr="00AF1C98" w:rsidRDefault="00210D09" w:rsidP="00566BCF">
            <w:pPr>
              <w:rPr>
                <w:rFonts w:ascii="Arial" w:hAnsi="Arial" w:cs="Arial"/>
                <w:sz w:val="22"/>
                <w:szCs w:val="22"/>
              </w:rPr>
            </w:pPr>
            <w:r>
              <w:rPr>
                <w:rFonts w:ascii="Arial" w:hAnsi="Arial" w:cs="Arial"/>
                <w:sz w:val="22"/>
                <w:szCs w:val="22"/>
              </w:rPr>
              <w:t>NDA</w:t>
            </w:r>
          </w:p>
        </w:tc>
        <w:tc>
          <w:tcPr>
            <w:tcW w:w="1567" w:type="dxa"/>
          </w:tcPr>
          <w:p w:rsidR="00210D09" w:rsidRPr="00AF1C98" w:rsidRDefault="00210D09" w:rsidP="00566BCF">
            <w:pPr>
              <w:rPr>
                <w:rFonts w:ascii="Arial" w:hAnsi="Arial" w:cs="Arial"/>
                <w:sz w:val="22"/>
                <w:szCs w:val="22"/>
              </w:rPr>
            </w:pPr>
            <w:r>
              <w:rPr>
                <w:rFonts w:ascii="Arial" w:hAnsi="Arial" w:cs="Arial"/>
                <w:sz w:val="22"/>
                <w:szCs w:val="22"/>
              </w:rPr>
              <w:t>Not Applicable</w:t>
            </w:r>
          </w:p>
        </w:tc>
        <w:tc>
          <w:tcPr>
            <w:tcW w:w="1865" w:type="dxa"/>
          </w:tcPr>
          <w:p w:rsidR="00210D09" w:rsidRPr="00AF1C98" w:rsidRDefault="00210D09" w:rsidP="00566BCF">
            <w:pPr>
              <w:rPr>
                <w:rFonts w:ascii="Arial" w:hAnsi="Arial" w:cs="Arial"/>
                <w:sz w:val="22"/>
                <w:szCs w:val="22"/>
              </w:rPr>
            </w:pPr>
            <w:r>
              <w:rPr>
                <w:rFonts w:ascii="Arial" w:hAnsi="Arial" w:cs="Arial"/>
                <w:sz w:val="22"/>
                <w:szCs w:val="22"/>
              </w:rPr>
              <w:t>Not Applicable</w:t>
            </w:r>
          </w:p>
        </w:tc>
        <w:tc>
          <w:tcPr>
            <w:tcW w:w="1706" w:type="dxa"/>
          </w:tcPr>
          <w:p w:rsidR="00210D09" w:rsidRPr="00AF1C98" w:rsidRDefault="00210D09" w:rsidP="00566BCF">
            <w:pPr>
              <w:rPr>
                <w:rFonts w:ascii="Arial" w:hAnsi="Arial" w:cs="Arial"/>
                <w:sz w:val="22"/>
                <w:szCs w:val="22"/>
              </w:rPr>
            </w:pPr>
            <w:r>
              <w:rPr>
                <w:rFonts w:ascii="Arial" w:hAnsi="Arial" w:cs="Arial"/>
                <w:sz w:val="22"/>
                <w:szCs w:val="22"/>
              </w:rPr>
              <w:t>Not Applicable</w:t>
            </w:r>
          </w:p>
        </w:tc>
        <w:tc>
          <w:tcPr>
            <w:tcW w:w="1662" w:type="dxa"/>
          </w:tcPr>
          <w:p w:rsidR="00210D09" w:rsidRPr="00AF1C98" w:rsidRDefault="00210D09" w:rsidP="00210D09">
            <w:pPr>
              <w:rPr>
                <w:rFonts w:ascii="Arial" w:hAnsi="Arial" w:cs="Arial"/>
                <w:sz w:val="22"/>
                <w:szCs w:val="22"/>
              </w:rPr>
            </w:pPr>
            <w:r>
              <w:rPr>
                <w:rFonts w:ascii="Arial" w:hAnsi="Arial" w:cs="Arial"/>
                <w:sz w:val="22"/>
                <w:szCs w:val="22"/>
              </w:rPr>
              <w:t>Not Applicable</w:t>
            </w:r>
          </w:p>
        </w:tc>
      </w:tr>
    </w:tbl>
    <w:p w:rsidR="00566BCF" w:rsidRDefault="00566BCF" w:rsidP="00F36426">
      <w:pPr>
        <w:rPr>
          <w:rFonts w:ascii="Arial" w:hAnsi="Arial" w:cs="Arial"/>
        </w:rPr>
      </w:pPr>
    </w:p>
    <w:p w:rsidR="00682708" w:rsidRPr="00AE729E" w:rsidRDefault="00512847" w:rsidP="00682708">
      <w:pPr>
        <w:jc w:val="both"/>
        <w:rPr>
          <w:rFonts w:ascii="Arial" w:hAnsi="Arial" w:cs="Arial"/>
        </w:rPr>
      </w:pPr>
      <w:r w:rsidRPr="00AE729E">
        <w:rPr>
          <w:rFonts w:ascii="Arial" w:hAnsi="Arial" w:cs="Arial"/>
        </w:rPr>
        <w:t>(</w:t>
      </w:r>
      <w:proofErr w:type="gramStart"/>
      <w:r w:rsidRPr="00AE729E">
        <w:rPr>
          <w:rFonts w:ascii="Arial" w:hAnsi="Arial" w:cs="Arial"/>
        </w:rPr>
        <w:t>bb</w:t>
      </w:r>
      <w:proofErr w:type="gramEnd"/>
      <w:r w:rsidRPr="00AE729E">
        <w:rPr>
          <w:rFonts w:ascii="Arial" w:hAnsi="Arial" w:cs="Arial"/>
        </w:rPr>
        <w:t xml:space="preserve">) Yes, SASSA appointed transactional advisors </w:t>
      </w:r>
      <w:r w:rsidR="00682708" w:rsidRPr="00AE729E">
        <w:rPr>
          <w:rFonts w:ascii="Arial" w:hAnsi="Arial" w:cs="Arial"/>
        </w:rPr>
        <w:t>(Tender 01/11/BS) during the preparatory phase for the procurement of a service provider for the distribution of social grants throughout the country. Some aspect of the procurement process were highly technical and required specific expertise in areas such as information and communication technology, legal, finance and human resources related matters.</w:t>
      </w:r>
      <w:r w:rsidR="005B062E" w:rsidRPr="00AE729E">
        <w:rPr>
          <w:rFonts w:ascii="Arial" w:hAnsi="Arial" w:cs="Arial"/>
        </w:rPr>
        <w:t xml:space="preserve"> The information related to this matter is contained in the SASSA’s annual report for the financial year in question.</w:t>
      </w:r>
    </w:p>
    <w:p w:rsidR="00682708" w:rsidRPr="00AE729E" w:rsidRDefault="00682708" w:rsidP="00682708">
      <w:pPr>
        <w:jc w:val="both"/>
        <w:rPr>
          <w:rFonts w:ascii="Arial" w:hAnsi="Arial" w:cs="Arial"/>
        </w:rPr>
      </w:pPr>
    </w:p>
    <w:p w:rsidR="00512847" w:rsidRPr="00F36426" w:rsidRDefault="00512847" w:rsidP="00682708">
      <w:pPr>
        <w:jc w:val="both"/>
        <w:rPr>
          <w:rFonts w:ascii="Arial" w:hAnsi="Arial" w:cs="Arial"/>
        </w:rPr>
      </w:pPr>
    </w:p>
    <w:sectPr w:rsidR="00512847" w:rsidRPr="00F36426" w:rsidSect="00210D0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D88" w:rsidRDefault="00937D88" w:rsidP="0050056C">
      <w:pPr>
        <w:pStyle w:val="BodyTextIndent"/>
        <w:spacing w:line="240" w:lineRule="auto"/>
      </w:pPr>
      <w:r>
        <w:separator/>
      </w:r>
    </w:p>
  </w:endnote>
  <w:endnote w:type="continuationSeparator" w:id="0">
    <w:p w:rsidR="00937D88" w:rsidRDefault="00937D88"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086221">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D88" w:rsidRDefault="00937D88" w:rsidP="0050056C">
      <w:pPr>
        <w:pStyle w:val="BodyTextIndent"/>
        <w:spacing w:line="240" w:lineRule="auto"/>
      </w:pPr>
      <w:r>
        <w:separator/>
      </w:r>
    </w:p>
  </w:footnote>
  <w:footnote w:type="continuationSeparator" w:id="0">
    <w:p w:rsidR="00937D88" w:rsidRDefault="00937D88"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1176A"/>
    <w:multiLevelType w:val="hybridMultilevel"/>
    <w:tmpl w:val="7952C642"/>
    <w:lvl w:ilvl="0" w:tplc="D53E52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3F20118"/>
    <w:multiLevelType w:val="hybridMultilevel"/>
    <w:tmpl w:val="75443CAC"/>
    <w:lvl w:ilvl="0" w:tplc="A3B27F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DAB0F5C"/>
    <w:multiLevelType w:val="hybridMultilevel"/>
    <w:tmpl w:val="A900D132"/>
    <w:lvl w:ilvl="0" w:tplc="476EAFE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A8B5381"/>
    <w:multiLevelType w:val="hybridMultilevel"/>
    <w:tmpl w:val="24B2236E"/>
    <w:lvl w:ilvl="0" w:tplc="648E288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30C057A"/>
    <w:multiLevelType w:val="hybridMultilevel"/>
    <w:tmpl w:val="070EF794"/>
    <w:lvl w:ilvl="0" w:tplc="D53E52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057AB"/>
    <w:rsid w:val="00031445"/>
    <w:rsid w:val="00041C1B"/>
    <w:rsid w:val="00073395"/>
    <w:rsid w:val="0007673D"/>
    <w:rsid w:val="000809FA"/>
    <w:rsid w:val="00086221"/>
    <w:rsid w:val="000D7807"/>
    <w:rsid w:val="000E6939"/>
    <w:rsid w:val="00117E7A"/>
    <w:rsid w:val="00131BD6"/>
    <w:rsid w:val="00136BE2"/>
    <w:rsid w:val="00163F17"/>
    <w:rsid w:val="00177CE3"/>
    <w:rsid w:val="00197708"/>
    <w:rsid w:val="001A289B"/>
    <w:rsid w:val="001B32C9"/>
    <w:rsid w:val="001C530A"/>
    <w:rsid w:val="001F50C3"/>
    <w:rsid w:val="00210D09"/>
    <w:rsid w:val="002165DF"/>
    <w:rsid w:val="002261FE"/>
    <w:rsid w:val="0023173C"/>
    <w:rsid w:val="00241BB9"/>
    <w:rsid w:val="00290C13"/>
    <w:rsid w:val="00294A56"/>
    <w:rsid w:val="002A2A3B"/>
    <w:rsid w:val="002C007D"/>
    <w:rsid w:val="002E7CD1"/>
    <w:rsid w:val="003103EC"/>
    <w:rsid w:val="00314F67"/>
    <w:rsid w:val="003305F4"/>
    <w:rsid w:val="00330733"/>
    <w:rsid w:val="00336143"/>
    <w:rsid w:val="003901D8"/>
    <w:rsid w:val="00390271"/>
    <w:rsid w:val="003A38CE"/>
    <w:rsid w:val="00407B29"/>
    <w:rsid w:val="00441AC5"/>
    <w:rsid w:val="00455B2D"/>
    <w:rsid w:val="00465CB0"/>
    <w:rsid w:val="0047763B"/>
    <w:rsid w:val="004805B9"/>
    <w:rsid w:val="00484661"/>
    <w:rsid w:val="0049770E"/>
    <w:rsid w:val="004A18AB"/>
    <w:rsid w:val="004A59FE"/>
    <w:rsid w:val="004D0147"/>
    <w:rsid w:val="004E3B78"/>
    <w:rsid w:val="0050056C"/>
    <w:rsid w:val="0051204D"/>
    <w:rsid w:val="00512847"/>
    <w:rsid w:val="00526FF0"/>
    <w:rsid w:val="00566BCF"/>
    <w:rsid w:val="005878F2"/>
    <w:rsid w:val="005B062E"/>
    <w:rsid w:val="005C22EB"/>
    <w:rsid w:val="005E256D"/>
    <w:rsid w:val="006127CE"/>
    <w:rsid w:val="006163D5"/>
    <w:rsid w:val="00676E17"/>
    <w:rsid w:val="00682708"/>
    <w:rsid w:val="00694B46"/>
    <w:rsid w:val="006B5C9B"/>
    <w:rsid w:val="006E3929"/>
    <w:rsid w:val="006E7D27"/>
    <w:rsid w:val="00765B79"/>
    <w:rsid w:val="00781F54"/>
    <w:rsid w:val="0078213D"/>
    <w:rsid w:val="00792847"/>
    <w:rsid w:val="007C510F"/>
    <w:rsid w:val="007F7CEF"/>
    <w:rsid w:val="008032A8"/>
    <w:rsid w:val="00804E20"/>
    <w:rsid w:val="00843380"/>
    <w:rsid w:val="008861F9"/>
    <w:rsid w:val="00937D88"/>
    <w:rsid w:val="00980C04"/>
    <w:rsid w:val="009868A5"/>
    <w:rsid w:val="00991DBC"/>
    <w:rsid w:val="009A1D29"/>
    <w:rsid w:val="009B6BFB"/>
    <w:rsid w:val="00A57275"/>
    <w:rsid w:val="00A91D40"/>
    <w:rsid w:val="00AB745E"/>
    <w:rsid w:val="00AC7CD4"/>
    <w:rsid w:val="00AD4319"/>
    <w:rsid w:val="00AE729E"/>
    <w:rsid w:val="00AF1C98"/>
    <w:rsid w:val="00AF3AF5"/>
    <w:rsid w:val="00B16E95"/>
    <w:rsid w:val="00B17479"/>
    <w:rsid w:val="00B17932"/>
    <w:rsid w:val="00B21EEC"/>
    <w:rsid w:val="00B47883"/>
    <w:rsid w:val="00B56AC8"/>
    <w:rsid w:val="00B80DA6"/>
    <w:rsid w:val="00B85E2D"/>
    <w:rsid w:val="00BB3D94"/>
    <w:rsid w:val="00BB5036"/>
    <w:rsid w:val="00BD5841"/>
    <w:rsid w:val="00BE3A42"/>
    <w:rsid w:val="00C13767"/>
    <w:rsid w:val="00C82F31"/>
    <w:rsid w:val="00CA06A7"/>
    <w:rsid w:val="00CA2A72"/>
    <w:rsid w:val="00CC1D1A"/>
    <w:rsid w:val="00CD5747"/>
    <w:rsid w:val="00CD6616"/>
    <w:rsid w:val="00CE6259"/>
    <w:rsid w:val="00CF556A"/>
    <w:rsid w:val="00D00E7C"/>
    <w:rsid w:val="00D110A4"/>
    <w:rsid w:val="00D179D7"/>
    <w:rsid w:val="00D43086"/>
    <w:rsid w:val="00D53961"/>
    <w:rsid w:val="00D57E5F"/>
    <w:rsid w:val="00D75F19"/>
    <w:rsid w:val="00D77270"/>
    <w:rsid w:val="00D86D61"/>
    <w:rsid w:val="00DC5365"/>
    <w:rsid w:val="00DF1683"/>
    <w:rsid w:val="00E42A9A"/>
    <w:rsid w:val="00E83F57"/>
    <w:rsid w:val="00ED1660"/>
    <w:rsid w:val="00F277F7"/>
    <w:rsid w:val="00F36426"/>
    <w:rsid w:val="00F80298"/>
    <w:rsid w:val="00FD08D9"/>
    <w:rsid w:val="00FD2A6E"/>
    <w:rsid w:val="00FE3B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3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E256D"/>
    <w:rPr>
      <w:sz w:val="16"/>
      <w:szCs w:val="16"/>
    </w:rPr>
  </w:style>
  <w:style w:type="paragraph" w:styleId="CommentText">
    <w:name w:val="annotation text"/>
    <w:basedOn w:val="Normal"/>
    <w:link w:val="CommentTextChar"/>
    <w:uiPriority w:val="99"/>
    <w:unhideWhenUsed/>
    <w:rsid w:val="005E256D"/>
    <w:pPr>
      <w:spacing w:after="200" w:line="360" w:lineRule="auto"/>
      <w:jc w:val="both"/>
    </w:pPr>
    <w:rPr>
      <w:rFonts w:ascii="Calibri" w:eastAsia="Calibri" w:hAnsi="Calibri" w:cs="Arial"/>
      <w:sz w:val="20"/>
      <w:szCs w:val="20"/>
      <w:lang w:val="en-ZA"/>
    </w:rPr>
  </w:style>
  <w:style w:type="character" w:customStyle="1" w:styleId="CommentTextChar">
    <w:name w:val="Comment Text Char"/>
    <w:basedOn w:val="DefaultParagraphFont"/>
    <w:link w:val="CommentText"/>
    <w:uiPriority w:val="99"/>
    <w:rsid w:val="005E256D"/>
    <w:rPr>
      <w:rFonts w:ascii="Calibri" w:eastAsia="Calibri" w:hAnsi="Calibri" w:cs="Arial"/>
      <w:sz w:val="20"/>
      <w:szCs w:val="20"/>
    </w:rPr>
  </w:style>
  <w:style w:type="paragraph" w:customStyle="1" w:styleId="tabletext">
    <w:name w:val="table text"/>
    <w:basedOn w:val="Normal"/>
    <w:qFormat/>
    <w:rsid w:val="005E256D"/>
    <w:rPr>
      <w:rFonts w:ascii="Arial" w:eastAsia="Calibri" w:hAnsi="Arial" w:cs="Arial"/>
      <w:sz w:val="20"/>
      <w:szCs w:val="22"/>
      <w:lang w:val="en-ZA"/>
    </w:rPr>
  </w:style>
  <w:style w:type="paragraph" w:styleId="BodyTextIndent3">
    <w:name w:val="Body Text Indent 3"/>
    <w:basedOn w:val="Normal"/>
    <w:link w:val="BodyTextIndent3Char"/>
    <w:uiPriority w:val="99"/>
    <w:semiHidden/>
    <w:unhideWhenUsed/>
    <w:rsid w:val="006827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82708"/>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2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Grace Modikoe</cp:lastModifiedBy>
  <cp:revision>3</cp:revision>
  <cp:lastPrinted>2017-10-11T08:45:00Z</cp:lastPrinted>
  <dcterms:created xsi:type="dcterms:W3CDTF">2017-10-11T13:01:00Z</dcterms:created>
  <dcterms:modified xsi:type="dcterms:W3CDTF">2017-10-12T12:38:00Z</dcterms:modified>
</cp:coreProperties>
</file>