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953C5E" w:rsidRPr="00E722E7" w:rsidRDefault="00B425C7" w:rsidP="00E722E7">
      <w:pPr>
        <w:tabs>
          <w:tab w:val="left" w:pos="5954"/>
          <w:tab w:val="left" w:pos="7371"/>
        </w:tabs>
        <w:jc w:val="both"/>
        <w:rPr>
          <w:rFonts w:ascii="Arial" w:hAnsi="Arial" w:cs="Arial"/>
          <w:sz w:val="20"/>
          <w:szCs w:val="20"/>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53C5E" w:rsidRDefault="009D42F1" w:rsidP="00953C5E">
      <w:pPr>
        <w:jc w:val="both"/>
        <w:rPr>
          <w:rFonts w:ascii="Arial" w:hAnsi="Arial" w:cs="Arial"/>
          <w:b/>
          <w:sz w:val="22"/>
          <w:szCs w:val="22"/>
        </w:rPr>
      </w:pPr>
      <w:r w:rsidRPr="009D42F1">
        <w:rPr>
          <w:rFonts w:ascii="Arial" w:hAnsi="Arial" w:cs="Arial"/>
          <w:b/>
          <w:sz w:val="22"/>
          <w:szCs w:val="22"/>
        </w:rPr>
        <w:t xml:space="preserve">MINISTER OF WATER AND SANITATION </w:t>
      </w:r>
    </w:p>
    <w:p w:rsidR="0004074C" w:rsidRDefault="0004074C">
      <w:pPr>
        <w:rPr>
          <w:rFonts w:ascii="Arial" w:hAnsi="Arial" w:cs="Arial"/>
        </w:rPr>
      </w:pPr>
    </w:p>
    <w:p w:rsidR="00953C5E" w:rsidRPr="00990959" w:rsidRDefault="00953C5E">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99A">
        <w:rPr>
          <w:rFonts w:ascii="Arial" w:hAnsi="Arial" w:cs="Arial"/>
          <w:b/>
          <w:sz w:val="22"/>
          <w:szCs w:val="22"/>
          <w:u w:val="single"/>
        </w:rPr>
        <w:t>19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99A">
        <w:rPr>
          <w:rFonts w:ascii="Arial" w:hAnsi="Arial" w:cs="Arial"/>
          <w:b/>
          <w:sz w:val="22"/>
          <w:szCs w:val="22"/>
          <w:u w:val="single"/>
        </w:rPr>
        <w:t>10 FEBRUARY</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70599A" w:rsidRPr="003D4833" w:rsidRDefault="0070599A" w:rsidP="0070599A">
      <w:pPr>
        <w:spacing w:before="100" w:beforeAutospacing="1" w:after="100" w:afterAutospacing="1"/>
        <w:ind w:left="709" w:hanging="709"/>
        <w:jc w:val="both"/>
        <w:outlineLvl w:val="0"/>
        <w:rPr>
          <w:rFonts w:ascii="Arial" w:hAnsi="Arial" w:cs="Arial"/>
          <w:b/>
          <w:sz w:val="22"/>
          <w:szCs w:val="22"/>
          <w:lang w:val="en-GB"/>
        </w:rPr>
      </w:pPr>
      <w:r w:rsidRPr="003D4833">
        <w:rPr>
          <w:rFonts w:ascii="Arial" w:hAnsi="Arial" w:cs="Arial"/>
          <w:b/>
          <w:sz w:val="22"/>
          <w:szCs w:val="22"/>
        </w:rPr>
        <w:t>19.</w:t>
      </w:r>
      <w:r w:rsidRPr="003D4833">
        <w:rPr>
          <w:rFonts w:ascii="Arial" w:hAnsi="Arial" w:cs="Arial"/>
          <w:b/>
          <w:color w:val="FF0000"/>
          <w:sz w:val="22"/>
          <w:szCs w:val="22"/>
        </w:rPr>
        <w:tab/>
      </w:r>
      <w:r w:rsidRPr="003D4833">
        <w:rPr>
          <w:rFonts w:ascii="Arial" w:hAnsi="Arial" w:cs="Arial"/>
          <w:b/>
          <w:sz w:val="22"/>
          <w:szCs w:val="22"/>
          <w:lang w:val="en-GB"/>
        </w:rPr>
        <w:t>Ms S A Buthelezi (IFP) to ask the Minister of Water and Sanitation:</w:t>
      </w:r>
    </w:p>
    <w:p w:rsidR="00B732FE" w:rsidRDefault="0070599A" w:rsidP="0070599A">
      <w:pPr>
        <w:spacing w:before="100" w:beforeAutospacing="1" w:after="100" w:afterAutospacing="1"/>
        <w:ind w:left="1440" w:hanging="720"/>
        <w:jc w:val="both"/>
        <w:outlineLvl w:val="0"/>
        <w:rPr>
          <w:rFonts w:ascii="Arial" w:hAnsi="Arial" w:cs="Arial"/>
          <w:sz w:val="22"/>
          <w:szCs w:val="22"/>
        </w:rPr>
      </w:pPr>
      <w:r w:rsidRPr="003E1FC2">
        <w:rPr>
          <w:rFonts w:ascii="Arial" w:hAnsi="Arial" w:cs="Arial"/>
        </w:rPr>
        <w:t>(1)</w:t>
      </w:r>
      <w:r w:rsidRPr="001007CF">
        <w:tab/>
      </w:r>
      <w:r w:rsidRPr="003D4833">
        <w:rPr>
          <w:rFonts w:ascii="Arial" w:hAnsi="Arial" w:cs="Arial"/>
          <w:sz w:val="22"/>
          <w:szCs w:val="22"/>
        </w:rPr>
        <w:t xml:space="preserve">In light of the water shortages experienced by the residents in the eThekwini Metropolitan Municipality area and surrounding areas, specifically in Umlazi, where residents at times go hours and even days without running water and experience periodical cut-offs, </w:t>
      </w:r>
      <w:r w:rsidRPr="006743BB">
        <w:rPr>
          <w:rFonts w:ascii="Arial" w:hAnsi="Arial" w:cs="Arial"/>
          <w:sz w:val="22"/>
          <w:szCs w:val="22"/>
        </w:rPr>
        <w:t xml:space="preserve">what interventions has his department made in this regard, including (a) mechanisms, </w:t>
      </w:r>
      <w:bookmarkStart w:id="0" w:name="_Hlk95730632"/>
      <w:r w:rsidRPr="006743BB">
        <w:rPr>
          <w:rFonts w:ascii="Arial" w:hAnsi="Arial" w:cs="Arial"/>
          <w:sz w:val="22"/>
          <w:szCs w:val="22"/>
        </w:rPr>
        <w:t xml:space="preserve">(b) processes </w:t>
      </w:r>
      <w:bookmarkEnd w:id="0"/>
      <w:r w:rsidRPr="006743BB">
        <w:rPr>
          <w:rFonts w:ascii="Arial" w:hAnsi="Arial" w:cs="Arial"/>
          <w:sz w:val="22"/>
          <w:szCs w:val="22"/>
        </w:rPr>
        <w:t xml:space="preserve">and (c) </w:t>
      </w:r>
      <w:proofErr w:type="gramStart"/>
      <w:r w:rsidRPr="006743BB">
        <w:rPr>
          <w:rFonts w:ascii="Arial" w:hAnsi="Arial" w:cs="Arial"/>
          <w:sz w:val="22"/>
          <w:szCs w:val="22"/>
        </w:rPr>
        <w:t>procedures</w:t>
      </w:r>
      <w:proofErr w:type="gramEnd"/>
      <w:r w:rsidRPr="006743BB">
        <w:rPr>
          <w:rFonts w:ascii="Arial" w:hAnsi="Arial" w:cs="Arial"/>
          <w:sz w:val="22"/>
          <w:szCs w:val="22"/>
        </w:rPr>
        <w:t xml:space="preserve"> that have been implemented to avoid future water cuts;</w:t>
      </w:r>
    </w:p>
    <w:p w:rsidR="00506E2B" w:rsidRDefault="00506E2B" w:rsidP="00506E2B">
      <w:pPr>
        <w:spacing w:before="100" w:beforeAutospacing="1" w:after="100" w:afterAutospacing="1"/>
        <w:ind w:left="1440" w:hanging="720"/>
        <w:jc w:val="center"/>
        <w:outlineLvl w:val="0"/>
        <w:rPr>
          <w:rFonts w:ascii="Arial" w:hAnsi="Arial" w:cs="Arial"/>
          <w:sz w:val="22"/>
          <w:szCs w:val="22"/>
        </w:rPr>
      </w:pPr>
      <w:r>
        <w:rPr>
          <w:rFonts w:ascii="Arial" w:hAnsi="Arial" w:cs="Arial"/>
          <w:sz w:val="22"/>
          <w:szCs w:val="22"/>
        </w:rPr>
        <w:t>---00O00---</w:t>
      </w:r>
    </w:p>
    <w:p w:rsidR="00506E2B" w:rsidRPr="00506E2B" w:rsidRDefault="00506E2B" w:rsidP="00506E2B">
      <w:pPr>
        <w:spacing w:before="100" w:beforeAutospacing="1" w:after="100" w:afterAutospacing="1"/>
        <w:ind w:left="1440" w:hanging="720"/>
        <w:outlineLvl w:val="0"/>
        <w:rPr>
          <w:rFonts w:ascii="Arial" w:hAnsi="Arial" w:cs="Arial"/>
          <w:b/>
          <w:bCs/>
          <w:sz w:val="22"/>
          <w:szCs w:val="22"/>
        </w:rPr>
      </w:pPr>
      <w:r w:rsidRPr="00506E2B">
        <w:rPr>
          <w:rFonts w:ascii="Arial" w:hAnsi="Arial" w:cs="Arial"/>
          <w:b/>
          <w:bCs/>
          <w:sz w:val="22"/>
          <w:szCs w:val="22"/>
        </w:rPr>
        <w:t>Minister of Water and Sanitation</w:t>
      </w:r>
    </w:p>
    <w:p w:rsidR="00B732FE" w:rsidRDefault="00B732FE" w:rsidP="00790C94">
      <w:pPr>
        <w:pStyle w:val="ListParagraph"/>
        <w:numPr>
          <w:ilvl w:val="0"/>
          <w:numId w:val="14"/>
        </w:numPr>
        <w:spacing w:before="100" w:beforeAutospacing="1" w:after="100" w:afterAutospacing="1"/>
        <w:ind w:hanging="731"/>
        <w:jc w:val="both"/>
        <w:outlineLvl w:val="0"/>
        <w:rPr>
          <w:rFonts w:ascii="Arial" w:hAnsi="Arial" w:cs="Arial"/>
          <w:sz w:val="22"/>
          <w:szCs w:val="22"/>
        </w:rPr>
      </w:pPr>
      <w:r w:rsidRPr="00506E2B">
        <w:rPr>
          <w:rFonts w:ascii="Arial" w:hAnsi="Arial" w:cs="Arial"/>
          <w:sz w:val="22"/>
          <w:szCs w:val="22"/>
        </w:rPr>
        <w:t xml:space="preserve">The municipality rations water supply to avoid total collapse of the water supply infrastructure. The water rationing is done on </w:t>
      </w:r>
      <w:r w:rsidR="000D1BE5" w:rsidRPr="00506E2B">
        <w:rPr>
          <w:rFonts w:ascii="Arial" w:hAnsi="Arial" w:cs="Arial"/>
          <w:sz w:val="22"/>
          <w:szCs w:val="22"/>
        </w:rPr>
        <w:t xml:space="preserve">a </w:t>
      </w:r>
      <w:r w:rsidRPr="00506E2B">
        <w:rPr>
          <w:rFonts w:ascii="Arial" w:hAnsi="Arial" w:cs="Arial"/>
          <w:sz w:val="22"/>
          <w:szCs w:val="22"/>
        </w:rPr>
        <w:t xml:space="preserve">daily basis at </w:t>
      </w:r>
      <w:r w:rsidR="000D1BE5" w:rsidRPr="00506E2B">
        <w:rPr>
          <w:rFonts w:ascii="Arial" w:hAnsi="Arial" w:cs="Arial"/>
          <w:sz w:val="22"/>
          <w:szCs w:val="22"/>
        </w:rPr>
        <w:t>night-time</w:t>
      </w:r>
      <w:r w:rsidRPr="00506E2B">
        <w:rPr>
          <w:rFonts w:ascii="Arial" w:hAnsi="Arial" w:cs="Arial"/>
          <w:sz w:val="22"/>
          <w:szCs w:val="22"/>
        </w:rPr>
        <w:t xml:space="preserve"> where demand for water is less allowing the infrastructure to build up storage. This is done from 20H00 to 03H00</w:t>
      </w:r>
      <w:r w:rsidR="00F4719C" w:rsidRPr="00506E2B">
        <w:rPr>
          <w:rFonts w:ascii="Arial" w:hAnsi="Arial" w:cs="Arial"/>
          <w:sz w:val="22"/>
          <w:szCs w:val="22"/>
        </w:rPr>
        <w:t>.</w:t>
      </w:r>
    </w:p>
    <w:p w:rsidR="00794352" w:rsidRDefault="00794352" w:rsidP="00794352">
      <w:pPr>
        <w:pStyle w:val="ListParagraph"/>
        <w:spacing w:before="100" w:beforeAutospacing="1" w:after="100" w:afterAutospacing="1"/>
        <w:ind w:left="1440"/>
        <w:jc w:val="both"/>
        <w:outlineLvl w:val="0"/>
        <w:rPr>
          <w:rFonts w:ascii="Arial" w:hAnsi="Arial" w:cs="Arial"/>
          <w:color w:val="000000" w:themeColor="text1"/>
          <w:sz w:val="22"/>
          <w:szCs w:val="22"/>
        </w:rPr>
      </w:pPr>
    </w:p>
    <w:p w:rsidR="00020331" w:rsidRPr="00953C5E" w:rsidRDefault="00794352" w:rsidP="00953C5E">
      <w:pPr>
        <w:pStyle w:val="ListParagraph"/>
        <w:spacing w:before="100" w:beforeAutospacing="1" w:after="100" w:afterAutospacing="1"/>
        <w:ind w:left="1440"/>
        <w:jc w:val="both"/>
        <w:outlineLvl w:val="0"/>
        <w:rPr>
          <w:rFonts w:ascii="Arial" w:hAnsi="Arial" w:cs="Arial"/>
          <w:sz w:val="22"/>
          <w:szCs w:val="22"/>
        </w:rPr>
      </w:pPr>
      <w:r w:rsidRPr="00794352">
        <w:rPr>
          <w:rFonts w:ascii="Arial" w:hAnsi="Arial" w:cs="Arial"/>
          <w:color w:val="000000" w:themeColor="text1"/>
          <w:sz w:val="22"/>
          <w:szCs w:val="22"/>
        </w:rPr>
        <w:t xml:space="preserve">The </w:t>
      </w:r>
      <w:r w:rsidRPr="00794352">
        <w:rPr>
          <w:rFonts w:ascii="Arial" w:hAnsi="Arial" w:cs="Arial"/>
          <w:sz w:val="22"/>
          <w:szCs w:val="22"/>
        </w:rPr>
        <w:t xml:space="preserve">Department of Water and Sanitation instructed eThekwini Metro as the WSA within its jurisdiction to undertake an investigation on the ongoing water supply interruptions within and surrounding Umlazi areas. The report indicated short, medium, and long terms solutions to mitigate the water supply challenges in the Umlazi areas. </w:t>
      </w:r>
    </w:p>
    <w:p w:rsidR="00020331" w:rsidRPr="003D4833" w:rsidRDefault="00020331" w:rsidP="00020331">
      <w:pPr>
        <w:spacing w:before="120" w:after="120"/>
        <w:ind w:left="1440"/>
        <w:jc w:val="both"/>
        <w:rPr>
          <w:rFonts w:ascii="Arial" w:hAnsi="Arial" w:cs="Arial"/>
          <w:sz w:val="22"/>
          <w:szCs w:val="22"/>
        </w:rPr>
      </w:pPr>
      <w:r w:rsidRPr="003D4833">
        <w:rPr>
          <w:rFonts w:ascii="Arial" w:hAnsi="Arial" w:cs="Arial"/>
          <w:sz w:val="22"/>
          <w:szCs w:val="22"/>
        </w:rPr>
        <w:t xml:space="preserve">The table below shows the short, medium, and long terms solutions that eThekwini Metro has </w:t>
      </w:r>
      <w:r>
        <w:rPr>
          <w:rFonts w:ascii="Arial" w:hAnsi="Arial" w:cs="Arial"/>
          <w:sz w:val="22"/>
          <w:szCs w:val="22"/>
        </w:rPr>
        <w:t>initiated</w:t>
      </w:r>
      <w:r w:rsidRPr="003D4833">
        <w:rPr>
          <w:rFonts w:ascii="Arial" w:hAnsi="Arial" w:cs="Arial"/>
          <w:sz w:val="22"/>
          <w:szCs w:val="22"/>
        </w:rPr>
        <w:t xml:space="preserve"> and planned to undertake to stabilize the Umlazi water system:</w:t>
      </w:r>
    </w:p>
    <w:tbl>
      <w:tblPr>
        <w:tblW w:w="4257"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6"/>
        <w:gridCol w:w="1016"/>
        <w:gridCol w:w="2176"/>
        <w:gridCol w:w="1885"/>
        <w:gridCol w:w="1306"/>
        <w:gridCol w:w="1384"/>
      </w:tblGrid>
      <w:tr w:rsidR="00020331" w:rsidRPr="00790C94" w:rsidTr="00020331">
        <w:trPr>
          <w:tblHeader/>
        </w:trPr>
        <w:tc>
          <w:tcPr>
            <w:tcW w:w="427" w:type="pct"/>
            <w:shd w:val="clear" w:color="auto" w:fill="EEECE1" w:themeFill="background2"/>
          </w:tcPr>
          <w:p w:rsidR="00020331" w:rsidRPr="00020331" w:rsidRDefault="00020331" w:rsidP="00353ED4">
            <w:pPr>
              <w:jc w:val="both"/>
              <w:rPr>
                <w:rFonts w:ascii="Arial" w:hAnsi="Arial" w:cs="Arial"/>
                <w:b/>
                <w:sz w:val="20"/>
                <w:szCs w:val="20"/>
              </w:rPr>
            </w:pPr>
            <w:r w:rsidRPr="00020331">
              <w:rPr>
                <w:rFonts w:ascii="Arial" w:hAnsi="Arial" w:cs="Arial"/>
                <w:b/>
                <w:sz w:val="20"/>
                <w:szCs w:val="20"/>
              </w:rPr>
              <w:t>Item</w:t>
            </w:r>
          </w:p>
        </w:tc>
        <w:tc>
          <w:tcPr>
            <w:tcW w:w="598" w:type="pct"/>
            <w:shd w:val="clear" w:color="auto" w:fill="EEECE1" w:themeFill="background2"/>
          </w:tcPr>
          <w:p w:rsidR="00020331" w:rsidRPr="00020331" w:rsidRDefault="00020331" w:rsidP="00353ED4">
            <w:pPr>
              <w:jc w:val="both"/>
              <w:rPr>
                <w:rFonts w:ascii="Arial" w:hAnsi="Arial" w:cs="Arial"/>
                <w:b/>
                <w:sz w:val="20"/>
                <w:szCs w:val="20"/>
              </w:rPr>
            </w:pPr>
            <w:r w:rsidRPr="00020331">
              <w:rPr>
                <w:rFonts w:ascii="Arial" w:hAnsi="Arial" w:cs="Arial"/>
                <w:b/>
                <w:sz w:val="20"/>
                <w:szCs w:val="20"/>
              </w:rPr>
              <w:t>Intervention</w:t>
            </w:r>
          </w:p>
        </w:tc>
        <w:tc>
          <w:tcPr>
            <w:tcW w:w="1281" w:type="pct"/>
            <w:shd w:val="clear" w:color="auto" w:fill="EEECE1" w:themeFill="background2"/>
          </w:tcPr>
          <w:p w:rsidR="00020331" w:rsidRPr="00020331" w:rsidRDefault="00020331" w:rsidP="00353ED4">
            <w:pPr>
              <w:jc w:val="both"/>
              <w:rPr>
                <w:rFonts w:ascii="Arial" w:hAnsi="Arial" w:cs="Arial"/>
                <w:b/>
                <w:sz w:val="20"/>
                <w:szCs w:val="20"/>
              </w:rPr>
            </w:pPr>
            <w:r w:rsidRPr="00020331">
              <w:rPr>
                <w:rFonts w:ascii="Arial" w:hAnsi="Arial" w:cs="Arial"/>
                <w:b/>
                <w:sz w:val="20"/>
                <w:szCs w:val="20"/>
              </w:rPr>
              <w:t>Description</w:t>
            </w:r>
          </w:p>
        </w:tc>
        <w:tc>
          <w:tcPr>
            <w:tcW w:w="1110" w:type="pct"/>
            <w:shd w:val="clear" w:color="auto" w:fill="EEECE1" w:themeFill="background2"/>
          </w:tcPr>
          <w:p w:rsidR="00020331" w:rsidRPr="00020331" w:rsidRDefault="00020331" w:rsidP="00353ED4">
            <w:pPr>
              <w:jc w:val="both"/>
              <w:rPr>
                <w:rFonts w:ascii="Arial" w:hAnsi="Arial" w:cs="Arial"/>
                <w:b/>
                <w:sz w:val="20"/>
                <w:szCs w:val="20"/>
              </w:rPr>
            </w:pPr>
            <w:r w:rsidRPr="00020331">
              <w:rPr>
                <w:rFonts w:ascii="Arial" w:hAnsi="Arial" w:cs="Arial"/>
                <w:b/>
                <w:sz w:val="20"/>
                <w:szCs w:val="20"/>
              </w:rPr>
              <w:t>Budget Required</w:t>
            </w:r>
          </w:p>
        </w:tc>
        <w:tc>
          <w:tcPr>
            <w:tcW w:w="769" w:type="pct"/>
            <w:shd w:val="clear" w:color="auto" w:fill="EEECE1" w:themeFill="background2"/>
          </w:tcPr>
          <w:p w:rsidR="00020331" w:rsidRPr="00020331" w:rsidRDefault="00020331" w:rsidP="00353ED4">
            <w:pPr>
              <w:jc w:val="both"/>
              <w:rPr>
                <w:rFonts w:ascii="Arial" w:hAnsi="Arial" w:cs="Arial"/>
                <w:b/>
                <w:sz w:val="20"/>
                <w:szCs w:val="20"/>
              </w:rPr>
            </w:pPr>
            <w:r w:rsidRPr="00020331">
              <w:rPr>
                <w:rFonts w:ascii="Arial" w:hAnsi="Arial" w:cs="Arial"/>
                <w:b/>
                <w:sz w:val="20"/>
                <w:szCs w:val="20"/>
              </w:rPr>
              <w:t>Funding Source</w:t>
            </w:r>
          </w:p>
        </w:tc>
        <w:tc>
          <w:tcPr>
            <w:tcW w:w="815" w:type="pct"/>
            <w:shd w:val="clear" w:color="auto" w:fill="EEECE1" w:themeFill="background2"/>
          </w:tcPr>
          <w:p w:rsidR="00020331" w:rsidRPr="00020331" w:rsidRDefault="00020331" w:rsidP="00353ED4">
            <w:pPr>
              <w:jc w:val="both"/>
              <w:rPr>
                <w:rFonts w:ascii="Arial" w:hAnsi="Arial" w:cs="Arial"/>
                <w:b/>
                <w:sz w:val="20"/>
                <w:szCs w:val="20"/>
              </w:rPr>
            </w:pPr>
            <w:r w:rsidRPr="00020331">
              <w:rPr>
                <w:rFonts w:ascii="Arial" w:hAnsi="Arial" w:cs="Arial"/>
                <w:b/>
                <w:sz w:val="20"/>
                <w:szCs w:val="20"/>
              </w:rPr>
              <w:t>Financial Year</w:t>
            </w:r>
          </w:p>
        </w:tc>
      </w:tr>
      <w:tr w:rsidR="00020331" w:rsidRPr="00790C94" w:rsidTr="00020331">
        <w:tc>
          <w:tcPr>
            <w:tcW w:w="427"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1.</w:t>
            </w:r>
          </w:p>
        </w:tc>
        <w:tc>
          <w:tcPr>
            <w:tcW w:w="598"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Short Term</w:t>
            </w:r>
          </w:p>
        </w:tc>
        <w:tc>
          <w:tcPr>
            <w:tcW w:w="1281" w:type="pct"/>
            <w:shd w:val="clear" w:color="auto" w:fill="auto"/>
          </w:tcPr>
          <w:p w:rsidR="00020331" w:rsidRPr="00020331" w:rsidRDefault="00020331" w:rsidP="00353ED4">
            <w:pPr>
              <w:rPr>
                <w:rFonts w:ascii="Arial" w:hAnsi="Arial" w:cs="Arial"/>
                <w:bCs/>
                <w:sz w:val="20"/>
                <w:szCs w:val="20"/>
              </w:rPr>
            </w:pPr>
            <w:r w:rsidRPr="00020331">
              <w:rPr>
                <w:rFonts w:ascii="Arial" w:hAnsi="Arial" w:cs="Arial"/>
                <w:bCs/>
                <w:sz w:val="20"/>
                <w:szCs w:val="20"/>
              </w:rPr>
              <w:t xml:space="preserve">Dedicated day to day operation and maintenance of </w:t>
            </w:r>
            <w:r w:rsidRPr="00020331">
              <w:rPr>
                <w:rFonts w:ascii="Arial" w:hAnsi="Arial" w:cs="Arial"/>
                <w:bCs/>
                <w:sz w:val="20"/>
                <w:szCs w:val="20"/>
              </w:rPr>
              <w:lastRenderedPageBreak/>
              <w:t>Umlazi water supply system</w:t>
            </w:r>
          </w:p>
        </w:tc>
        <w:tc>
          <w:tcPr>
            <w:tcW w:w="1110" w:type="pct"/>
            <w:shd w:val="clear" w:color="auto" w:fill="auto"/>
          </w:tcPr>
          <w:p w:rsidR="00020331" w:rsidRPr="00020331" w:rsidRDefault="00020331" w:rsidP="00353ED4">
            <w:pPr>
              <w:rPr>
                <w:rFonts w:ascii="Arial" w:hAnsi="Arial" w:cs="Arial"/>
                <w:bCs/>
                <w:sz w:val="20"/>
                <w:szCs w:val="20"/>
              </w:rPr>
            </w:pPr>
            <w:r w:rsidRPr="00020331">
              <w:rPr>
                <w:rFonts w:ascii="Arial" w:hAnsi="Arial" w:cs="Arial"/>
                <w:bCs/>
                <w:sz w:val="20"/>
                <w:szCs w:val="20"/>
              </w:rPr>
              <w:lastRenderedPageBreak/>
              <w:t xml:space="preserve">R560 000 per month (outsourced excluding internal </w:t>
            </w:r>
            <w:r w:rsidRPr="00020331">
              <w:rPr>
                <w:rFonts w:ascii="Arial" w:hAnsi="Arial" w:cs="Arial"/>
                <w:bCs/>
                <w:sz w:val="20"/>
                <w:szCs w:val="20"/>
              </w:rPr>
              <w:lastRenderedPageBreak/>
              <w:t>costs)</w:t>
            </w:r>
          </w:p>
        </w:tc>
        <w:tc>
          <w:tcPr>
            <w:tcW w:w="769"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lastRenderedPageBreak/>
              <w:t>Internal O&amp;M Budget</w:t>
            </w:r>
          </w:p>
        </w:tc>
        <w:tc>
          <w:tcPr>
            <w:tcW w:w="815"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2021/2022</w:t>
            </w:r>
          </w:p>
        </w:tc>
      </w:tr>
      <w:tr w:rsidR="00020331" w:rsidRPr="00790C94" w:rsidTr="00020331">
        <w:tc>
          <w:tcPr>
            <w:tcW w:w="427"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lastRenderedPageBreak/>
              <w:t>2.</w:t>
            </w:r>
          </w:p>
        </w:tc>
        <w:tc>
          <w:tcPr>
            <w:tcW w:w="598"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Medium Term</w:t>
            </w:r>
          </w:p>
        </w:tc>
        <w:tc>
          <w:tcPr>
            <w:tcW w:w="1281"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Optimized maintenance of the Umlazi water supply system</w:t>
            </w:r>
          </w:p>
        </w:tc>
        <w:tc>
          <w:tcPr>
            <w:tcW w:w="1110" w:type="pct"/>
            <w:shd w:val="clear" w:color="auto" w:fill="auto"/>
          </w:tcPr>
          <w:p w:rsidR="00020331" w:rsidRPr="00020331" w:rsidRDefault="00020331" w:rsidP="00353ED4">
            <w:pPr>
              <w:rPr>
                <w:rFonts w:ascii="Arial" w:hAnsi="Arial" w:cs="Arial"/>
                <w:bCs/>
                <w:sz w:val="20"/>
                <w:szCs w:val="20"/>
              </w:rPr>
            </w:pPr>
            <w:r w:rsidRPr="00020331">
              <w:rPr>
                <w:rFonts w:ascii="Arial" w:hAnsi="Arial" w:cs="Arial"/>
                <w:bCs/>
                <w:sz w:val="20"/>
                <w:szCs w:val="20"/>
              </w:rPr>
              <w:t>R560 000 per month (outsourced excluding internal costs)</w:t>
            </w:r>
          </w:p>
        </w:tc>
        <w:tc>
          <w:tcPr>
            <w:tcW w:w="769"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Internal O&amp;M Budget</w:t>
            </w:r>
          </w:p>
        </w:tc>
        <w:tc>
          <w:tcPr>
            <w:tcW w:w="815"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2021/2022</w:t>
            </w:r>
          </w:p>
        </w:tc>
      </w:tr>
      <w:tr w:rsidR="00020331" w:rsidRPr="00790C94" w:rsidTr="00020331">
        <w:tc>
          <w:tcPr>
            <w:tcW w:w="427"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3.</w:t>
            </w:r>
          </w:p>
        </w:tc>
        <w:tc>
          <w:tcPr>
            <w:tcW w:w="598"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Long Term</w:t>
            </w:r>
          </w:p>
        </w:tc>
        <w:tc>
          <w:tcPr>
            <w:tcW w:w="1281"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Replacement and Upgrade of the Umlazi water supply system</w:t>
            </w:r>
          </w:p>
        </w:tc>
        <w:tc>
          <w:tcPr>
            <w:tcW w:w="1110" w:type="pct"/>
            <w:shd w:val="clear" w:color="auto" w:fill="auto"/>
          </w:tcPr>
          <w:p w:rsidR="00020331" w:rsidRPr="00020331" w:rsidRDefault="00020331" w:rsidP="00353ED4">
            <w:pPr>
              <w:rPr>
                <w:rFonts w:ascii="Arial" w:hAnsi="Arial" w:cs="Arial"/>
                <w:bCs/>
                <w:sz w:val="20"/>
                <w:szCs w:val="20"/>
              </w:rPr>
            </w:pPr>
            <w:r w:rsidRPr="00020331">
              <w:rPr>
                <w:rFonts w:ascii="Arial" w:hAnsi="Arial" w:cs="Arial"/>
                <w:bCs/>
                <w:sz w:val="20"/>
                <w:szCs w:val="20"/>
              </w:rPr>
              <w:t>R2 billion (including bulk and distribution networks)</w:t>
            </w:r>
          </w:p>
        </w:tc>
        <w:tc>
          <w:tcPr>
            <w:tcW w:w="769"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Not funded yet</w:t>
            </w:r>
          </w:p>
        </w:tc>
        <w:tc>
          <w:tcPr>
            <w:tcW w:w="815" w:type="pct"/>
            <w:shd w:val="clear" w:color="auto" w:fill="auto"/>
          </w:tcPr>
          <w:p w:rsidR="00020331" w:rsidRPr="00020331" w:rsidRDefault="00020331" w:rsidP="00353ED4">
            <w:pPr>
              <w:jc w:val="both"/>
              <w:rPr>
                <w:rFonts w:ascii="Arial" w:hAnsi="Arial" w:cs="Arial"/>
                <w:bCs/>
                <w:sz w:val="20"/>
                <w:szCs w:val="20"/>
              </w:rPr>
            </w:pPr>
            <w:r w:rsidRPr="00020331">
              <w:rPr>
                <w:rFonts w:ascii="Arial" w:hAnsi="Arial" w:cs="Arial"/>
                <w:bCs/>
                <w:sz w:val="20"/>
                <w:szCs w:val="20"/>
              </w:rPr>
              <w:t>N/A</w:t>
            </w:r>
          </w:p>
        </w:tc>
      </w:tr>
    </w:tbl>
    <w:p w:rsidR="00020331" w:rsidRPr="00790C94" w:rsidRDefault="00020331" w:rsidP="00020331">
      <w:pPr>
        <w:ind w:left="936" w:hanging="576"/>
        <w:jc w:val="both"/>
        <w:rPr>
          <w:rFonts w:ascii="Arial" w:hAnsi="Arial" w:cs="Arial"/>
          <w:sz w:val="18"/>
          <w:szCs w:val="18"/>
        </w:rPr>
      </w:pPr>
    </w:p>
    <w:p w:rsidR="00794352" w:rsidRPr="00020331" w:rsidRDefault="00794352" w:rsidP="00020331">
      <w:pPr>
        <w:spacing w:before="120" w:after="120"/>
        <w:ind w:left="1440"/>
        <w:jc w:val="both"/>
        <w:rPr>
          <w:rFonts w:ascii="Arial" w:hAnsi="Arial" w:cs="Arial"/>
          <w:sz w:val="22"/>
          <w:szCs w:val="22"/>
        </w:rPr>
      </w:pPr>
      <w:r w:rsidRPr="00020331">
        <w:rPr>
          <w:rFonts w:ascii="Arial" w:hAnsi="Arial" w:cs="Arial"/>
          <w:sz w:val="22"/>
          <w:szCs w:val="22"/>
        </w:rPr>
        <w:t xml:space="preserve">Water supply into Umlazi system comes from Durban Heights Water Treatment Works (DHWTW) located in Reservoir Hills through the twin southern aqueduct lines, 1200mm steel and a 950mm diameter pipes. This aqueduct supplies </w:t>
      </w:r>
      <w:proofErr w:type="spellStart"/>
      <w:r w:rsidRPr="00020331">
        <w:rPr>
          <w:rFonts w:ascii="Arial" w:hAnsi="Arial" w:cs="Arial"/>
          <w:sz w:val="22"/>
          <w:szCs w:val="22"/>
        </w:rPr>
        <w:t>Shallcross</w:t>
      </w:r>
      <w:proofErr w:type="spellEnd"/>
      <w:r w:rsidRPr="00020331">
        <w:rPr>
          <w:rFonts w:ascii="Arial" w:hAnsi="Arial" w:cs="Arial"/>
          <w:sz w:val="22"/>
          <w:szCs w:val="22"/>
        </w:rPr>
        <w:t xml:space="preserve">, Chatsworth, </w:t>
      </w:r>
      <w:proofErr w:type="spellStart"/>
      <w:r w:rsidRPr="00020331">
        <w:rPr>
          <w:rFonts w:ascii="Arial" w:hAnsi="Arial" w:cs="Arial"/>
          <w:sz w:val="22"/>
          <w:szCs w:val="22"/>
        </w:rPr>
        <w:t>Northdene</w:t>
      </w:r>
      <w:proofErr w:type="spellEnd"/>
      <w:r w:rsidRPr="00020331">
        <w:rPr>
          <w:rFonts w:ascii="Arial" w:hAnsi="Arial" w:cs="Arial"/>
          <w:sz w:val="22"/>
          <w:szCs w:val="22"/>
        </w:rPr>
        <w:t xml:space="preserve">, </w:t>
      </w:r>
      <w:proofErr w:type="spellStart"/>
      <w:r w:rsidRPr="00020331">
        <w:rPr>
          <w:rFonts w:ascii="Arial" w:hAnsi="Arial" w:cs="Arial"/>
          <w:sz w:val="22"/>
          <w:szCs w:val="22"/>
        </w:rPr>
        <w:t>Queensburgh</w:t>
      </w:r>
      <w:proofErr w:type="spellEnd"/>
      <w:r w:rsidRPr="00020331">
        <w:rPr>
          <w:rFonts w:ascii="Arial" w:hAnsi="Arial" w:cs="Arial"/>
          <w:sz w:val="22"/>
          <w:szCs w:val="22"/>
        </w:rPr>
        <w:t xml:space="preserve">, St </w:t>
      </w:r>
      <w:proofErr w:type="spellStart"/>
      <w:r w:rsidRPr="00020331">
        <w:rPr>
          <w:rFonts w:ascii="Arial" w:hAnsi="Arial" w:cs="Arial"/>
          <w:sz w:val="22"/>
          <w:szCs w:val="22"/>
        </w:rPr>
        <w:t>Wendolins</w:t>
      </w:r>
      <w:proofErr w:type="spellEnd"/>
      <w:r w:rsidRPr="00020331">
        <w:rPr>
          <w:rFonts w:ascii="Arial" w:hAnsi="Arial" w:cs="Arial"/>
          <w:sz w:val="22"/>
          <w:szCs w:val="22"/>
        </w:rPr>
        <w:t xml:space="preserve">, Washington Heights, </w:t>
      </w:r>
      <w:proofErr w:type="spellStart"/>
      <w:r w:rsidRPr="00020331">
        <w:rPr>
          <w:rFonts w:ascii="Arial" w:hAnsi="Arial" w:cs="Arial"/>
          <w:sz w:val="22"/>
          <w:szCs w:val="22"/>
        </w:rPr>
        <w:t>Welbedatch</w:t>
      </w:r>
      <w:proofErr w:type="spellEnd"/>
      <w:r w:rsidRPr="00020331">
        <w:rPr>
          <w:rFonts w:ascii="Arial" w:hAnsi="Arial" w:cs="Arial"/>
          <w:sz w:val="22"/>
          <w:szCs w:val="22"/>
        </w:rPr>
        <w:t xml:space="preserve"> and ultimately </w:t>
      </w:r>
      <w:proofErr w:type="spellStart"/>
      <w:r w:rsidRPr="00020331">
        <w:rPr>
          <w:rFonts w:ascii="Arial" w:hAnsi="Arial" w:cs="Arial"/>
          <w:sz w:val="22"/>
          <w:szCs w:val="22"/>
        </w:rPr>
        <w:t>Umlazi</w:t>
      </w:r>
      <w:proofErr w:type="spellEnd"/>
      <w:r w:rsidRPr="00020331">
        <w:rPr>
          <w:rFonts w:ascii="Arial" w:hAnsi="Arial" w:cs="Arial"/>
          <w:sz w:val="22"/>
          <w:szCs w:val="22"/>
        </w:rPr>
        <w:t xml:space="preserve"> (including </w:t>
      </w:r>
      <w:proofErr w:type="spellStart"/>
      <w:r w:rsidRPr="00020331">
        <w:rPr>
          <w:rFonts w:ascii="Arial" w:hAnsi="Arial" w:cs="Arial"/>
          <w:sz w:val="22"/>
          <w:szCs w:val="22"/>
        </w:rPr>
        <w:t>Nsimbini</w:t>
      </w:r>
      <w:proofErr w:type="spellEnd"/>
      <w:r w:rsidRPr="00020331">
        <w:rPr>
          <w:rFonts w:ascii="Arial" w:hAnsi="Arial" w:cs="Arial"/>
          <w:sz w:val="22"/>
          <w:szCs w:val="22"/>
        </w:rPr>
        <w:t xml:space="preserve">, </w:t>
      </w:r>
      <w:proofErr w:type="spellStart"/>
      <w:r w:rsidRPr="00020331">
        <w:rPr>
          <w:rFonts w:ascii="Arial" w:hAnsi="Arial" w:cs="Arial"/>
          <w:sz w:val="22"/>
          <w:szCs w:val="22"/>
        </w:rPr>
        <w:t>Folweni</w:t>
      </w:r>
      <w:proofErr w:type="spellEnd"/>
      <w:r w:rsidRPr="00020331">
        <w:rPr>
          <w:rFonts w:ascii="Arial" w:hAnsi="Arial" w:cs="Arial"/>
          <w:sz w:val="22"/>
          <w:szCs w:val="22"/>
        </w:rPr>
        <w:t xml:space="preserve"> and </w:t>
      </w:r>
      <w:proofErr w:type="spellStart"/>
      <w:r w:rsidRPr="00020331">
        <w:rPr>
          <w:rFonts w:ascii="Arial" w:hAnsi="Arial" w:cs="Arial"/>
          <w:sz w:val="22"/>
          <w:szCs w:val="22"/>
        </w:rPr>
        <w:t>Golokodo</w:t>
      </w:r>
      <w:proofErr w:type="spellEnd"/>
      <w:r w:rsidRPr="00020331">
        <w:rPr>
          <w:rFonts w:ascii="Arial" w:hAnsi="Arial" w:cs="Arial"/>
          <w:sz w:val="22"/>
          <w:szCs w:val="22"/>
        </w:rPr>
        <w:t xml:space="preserve">). </w:t>
      </w:r>
    </w:p>
    <w:p w:rsidR="006743BB" w:rsidRDefault="00794352" w:rsidP="00020331">
      <w:pPr>
        <w:spacing w:before="120" w:after="120"/>
        <w:ind w:left="1440"/>
        <w:jc w:val="both"/>
        <w:rPr>
          <w:rFonts w:ascii="Arial" w:hAnsi="Arial" w:cs="Arial"/>
          <w:sz w:val="22"/>
          <w:szCs w:val="22"/>
        </w:rPr>
      </w:pPr>
      <w:r w:rsidRPr="00020331">
        <w:rPr>
          <w:rFonts w:ascii="Arial" w:hAnsi="Arial" w:cs="Arial"/>
          <w:sz w:val="22"/>
          <w:szCs w:val="22"/>
        </w:rPr>
        <w:t xml:space="preserve">The condition of the 950mm diameter pipe has deteriorated over the past four years which caused frequent major leaks that required major repairs resulting to a decision to isolate all sections of this pipe. The impact of the pipe isolation resulted in reduced system input volume to all downstream areas (Chatsworth, </w:t>
      </w:r>
      <w:proofErr w:type="spellStart"/>
      <w:r w:rsidRPr="00020331">
        <w:rPr>
          <w:rFonts w:ascii="Arial" w:hAnsi="Arial" w:cs="Arial"/>
          <w:sz w:val="22"/>
          <w:szCs w:val="22"/>
        </w:rPr>
        <w:t>Shallcross</w:t>
      </w:r>
      <w:proofErr w:type="spellEnd"/>
      <w:r w:rsidRPr="00020331">
        <w:rPr>
          <w:rFonts w:ascii="Arial" w:hAnsi="Arial" w:cs="Arial"/>
          <w:sz w:val="22"/>
          <w:szCs w:val="22"/>
        </w:rPr>
        <w:t xml:space="preserve">, St </w:t>
      </w:r>
      <w:proofErr w:type="spellStart"/>
      <w:r w:rsidRPr="00020331">
        <w:rPr>
          <w:rFonts w:ascii="Arial" w:hAnsi="Arial" w:cs="Arial"/>
          <w:sz w:val="22"/>
          <w:szCs w:val="22"/>
        </w:rPr>
        <w:t>Wendolins</w:t>
      </w:r>
      <w:proofErr w:type="spellEnd"/>
      <w:r w:rsidRPr="00020331">
        <w:rPr>
          <w:rFonts w:ascii="Arial" w:hAnsi="Arial" w:cs="Arial"/>
          <w:sz w:val="22"/>
          <w:szCs w:val="22"/>
        </w:rPr>
        <w:t xml:space="preserve">, </w:t>
      </w:r>
      <w:proofErr w:type="spellStart"/>
      <w:r w:rsidRPr="00020331">
        <w:rPr>
          <w:rFonts w:ascii="Arial" w:hAnsi="Arial" w:cs="Arial"/>
          <w:sz w:val="22"/>
          <w:szCs w:val="22"/>
        </w:rPr>
        <w:t>Nagina</w:t>
      </w:r>
      <w:proofErr w:type="spellEnd"/>
      <w:r w:rsidRPr="00020331">
        <w:rPr>
          <w:rFonts w:ascii="Arial" w:hAnsi="Arial" w:cs="Arial"/>
          <w:sz w:val="22"/>
          <w:szCs w:val="22"/>
        </w:rPr>
        <w:t xml:space="preserve">, </w:t>
      </w:r>
      <w:proofErr w:type="spellStart"/>
      <w:r w:rsidRPr="00020331">
        <w:rPr>
          <w:rFonts w:ascii="Arial" w:hAnsi="Arial" w:cs="Arial"/>
          <w:sz w:val="22"/>
          <w:szCs w:val="22"/>
        </w:rPr>
        <w:t>Northdene</w:t>
      </w:r>
      <w:proofErr w:type="spellEnd"/>
      <w:r w:rsidRPr="00020331">
        <w:rPr>
          <w:rFonts w:ascii="Arial" w:hAnsi="Arial" w:cs="Arial"/>
          <w:sz w:val="22"/>
          <w:szCs w:val="22"/>
        </w:rPr>
        <w:t xml:space="preserve">, </w:t>
      </w:r>
      <w:proofErr w:type="spellStart"/>
      <w:r w:rsidRPr="00020331">
        <w:rPr>
          <w:rFonts w:ascii="Arial" w:hAnsi="Arial" w:cs="Arial"/>
          <w:sz w:val="22"/>
          <w:szCs w:val="22"/>
        </w:rPr>
        <w:t>Queensburgh</w:t>
      </w:r>
      <w:proofErr w:type="spellEnd"/>
      <w:r w:rsidRPr="00020331">
        <w:rPr>
          <w:rFonts w:ascii="Arial" w:hAnsi="Arial" w:cs="Arial"/>
          <w:sz w:val="22"/>
          <w:szCs w:val="22"/>
        </w:rPr>
        <w:t xml:space="preserve">, </w:t>
      </w:r>
      <w:proofErr w:type="spellStart"/>
      <w:r w:rsidRPr="00020331">
        <w:rPr>
          <w:rFonts w:ascii="Arial" w:hAnsi="Arial" w:cs="Arial"/>
          <w:sz w:val="22"/>
          <w:szCs w:val="22"/>
        </w:rPr>
        <w:t>Welbedatch</w:t>
      </w:r>
      <w:proofErr w:type="spellEnd"/>
      <w:r w:rsidRPr="00020331">
        <w:rPr>
          <w:rFonts w:ascii="Arial" w:hAnsi="Arial" w:cs="Arial"/>
          <w:sz w:val="22"/>
          <w:szCs w:val="22"/>
        </w:rPr>
        <w:t xml:space="preserve">, </w:t>
      </w:r>
      <w:proofErr w:type="spellStart"/>
      <w:r w:rsidRPr="00020331">
        <w:rPr>
          <w:rFonts w:ascii="Arial" w:hAnsi="Arial" w:cs="Arial"/>
          <w:sz w:val="22"/>
          <w:szCs w:val="22"/>
        </w:rPr>
        <w:t>Umlazi</w:t>
      </w:r>
      <w:proofErr w:type="spellEnd"/>
      <w:r w:rsidRPr="00020331">
        <w:rPr>
          <w:rFonts w:ascii="Arial" w:hAnsi="Arial" w:cs="Arial"/>
          <w:sz w:val="22"/>
          <w:szCs w:val="22"/>
        </w:rPr>
        <w:t xml:space="preserve">, </w:t>
      </w:r>
      <w:proofErr w:type="spellStart"/>
      <w:r w:rsidRPr="00020331">
        <w:rPr>
          <w:rFonts w:ascii="Arial" w:hAnsi="Arial" w:cs="Arial"/>
          <w:sz w:val="22"/>
          <w:szCs w:val="22"/>
        </w:rPr>
        <w:t>Folweni</w:t>
      </w:r>
      <w:proofErr w:type="spellEnd"/>
      <w:r w:rsidRPr="00020331">
        <w:rPr>
          <w:rFonts w:ascii="Arial" w:hAnsi="Arial" w:cs="Arial"/>
          <w:sz w:val="22"/>
          <w:szCs w:val="22"/>
        </w:rPr>
        <w:t xml:space="preserve">, </w:t>
      </w:r>
      <w:proofErr w:type="spellStart"/>
      <w:r w:rsidRPr="00020331">
        <w:rPr>
          <w:rFonts w:ascii="Arial" w:hAnsi="Arial" w:cs="Arial"/>
          <w:sz w:val="22"/>
          <w:szCs w:val="22"/>
        </w:rPr>
        <w:t>Nsimbini</w:t>
      </w:r>
      <w:proofErr w:type="spellEnd"/>
      <w:r w:rsidRPr="00020331">
        <w:rPr>
          <w:rFonts w:ascii="Arial" w:hAnsi="Arial" w:cs="Arial"/>
          <w:sz w:val="22"/>
          <w:szCs w:val="22"/>
        </w:rPr>
        <w:t xml:space="preserve"> and </w:t>
      </w:r>
      <w:proofErr w:type="spellStart"/>
      <w:r w:rsidRPr="00020331">
        <w:rPr>
          <w:rFonts w:ascii="Arial" w:hAnsi="Arial" w:cs="Arial"/>
          <w:sz w:val="22"/>
          <w:szCs w:val="22"/>
        </w:rPr>
        <w:t>Golokodo</w:t>
      </w:r>
      <w:proofErr w:type="spellEnd"/>
      <w:r w:rsidRPr="00020331">
        <w:rPr>
          <w:rFonts w:ascii="Arial" w:hAnsi="Arial" w:cs="Arial"/>
          <w:sz w:val="22"/>
          <w:szCs w:val="22"/>
        </w:rPr>
        <w:t xml:space="preserve">). This affected most the critical points (furthest and highest points), Umlazi 2 which supplies C, F, G, H, N &amp; W Sections and ultimately </w:t>
      </w:r>
      <w:proofErr w:type="spellStart"/>
      <w:r w:rsidRPr="00020331">
        <w:rPr>
          <w:rFonts w:ascii="Arial" w:hAnsi="Arial" w:cs="Arial"/>
          <w:sz w:val="22"/>
          <w:szCs w:val="22"/>
        </w:rPr>
        <w:t>Nsimbini</w:t>
      </w:r>
      <w:proofErr w:type="spellEnd"/>
      <w:r w:rsidRPr="00020331">
        <w:rPr>
          <w:rFonts w:ascii="Arial" w:hAnsi="Arial" w:cs="Arial"/>
          <w:sz w:val="22"/>
          <w:szCs w:val="22"/>
        </w:rPr>
        <w:t xml:space="preserve">, </w:t>
      </w:r>
      <w:proofErr w:type="spellStart"/>
      <w:r w:rsidRPr="00020331">
        <w:rPr>
          <w:rFonts w:ascii="Arial" w:hAnsi="Arial" w:cs="Arial"/>
          <w:sz w:val="22"/>
          <w:szCs w:val="22"/>
        </w:rPr>
        <w:t>Folweni</w:t>
      </w:r>
      <w:proofErr w:type="spellEnd"/>
      <w:r w:rsidRPr="00020331">
        <w:rPr>
          <w:rFonts w:ascii="Arial" w:hAnsi="Arial" w:cs="Arial"/>
          <w:sz w:val="22"/>
          <w:szCs w:val="22"/>
        </w:rPr>
        <w:t xml:space="preserve"> and </w:t>
      </w:r>
      <w:proofErr w:type="spellStart"/>
      <w:r w:rsidRPr="00020331">
        <w:rPr>
          <w:rFonts w:ascii="Arial" w:hAnsi="Arial" w:cs="Arial"/>
          <w:sz w:val="22"/>
          <w:szCs w:val="22"/>
        </w:rPr>
        <w:t>Golokodo</w:t>
      </w:r>
      <w:proofErr w:type="spellEnd"/>
      <w:r w:rsidRPr="00020331">
        <w:rPr>
          <w:rFonts w:ascii="Arial" w:hAnsi="Arial" w:cs="Arial"/>
          <w:sz w:val="22"/>
          <w:szCs w:val="22"/>
        </w:rPr>
        <w:t xml:space="preserve">. </w:t>
      </w:r>
    </w:p>
    <w:p w:rsidR="00B732FE" w:rsidRPr="00020331" w:rsidRDefault="00020331" w:rsidP="00953C5E">
      <w:pPr>
        <w:spacing w:before="100" w:beforeAutospacing="1" w:after="100" w:afterAutospacing="1"/>
        <w:ind w:left="1440" w:hanging="720"/>
        <w:jc w:val="both"/>
        <w:outlineLvl w:val="0"/>
        <w:rPr>
          <w:rFonts w:ascii="Arial" w:hAnsi="Arial" w:cs="Arial"/>
          <w:sz w:val="22"/>
          <w:szCs w:val="22"/>
        </w:rPr>
      </w:pPr>
      <w:r>
        <w:rPr>
          <w:rFonts w:ascii="Arial" w:hAnsi="Arial" w:cs="Arial"/>
          <w:sz w:val="22"/>
          <w:szCs w:val="22"/>
        </w:rPr>
        <w:t>(a</w:t>
      </w:r>
      <w:r w:rsidR="00953C5E">
        <w:rPr>
          <w:rFonts w:ascii="Arial" w:hAnsi="Arial" w:cs="Arial"/>
          <w:sz w:val="22"/>
          <w:szCs w:val="22"/>
        </w:rPr>
        <w:t>-c)</w:t>
      </w:r>
      <w:r w:rsidR="00953C5E">
        <w:rPr>
          <w:rFonts w:ascii="Arial" w:hAnsi="Arial" w:cs="Arial"/>
          <w:sz w:val="22"/>
          <w:szCs w:val="22"/>
        </w:rPr>
        <w:tab/>
      </w:r>
      <w:r w:rsidR="00B732FE" w:rsidRPr="00020331">
        <w:rPr>
          <w:rFonts w:ascii="Arial" w:hAnsi="Arial" w:cs="Arial"/>
          <w:sz w:val="22"/>
          <w:szCs w:val="22"/>
        </w:rPr>
        <w:t>The municipality</w:t>
      </w:r>
      <w:r w:rsidR="003E1FC2" w:rsidRPr="00020331">
        <w:rPr>
          <w:rFonts w:ascii="Arial" w:hAnsi="Arial" w:cs="Arial"/>
          <w:sz w:val="22"/>
          <w:szCs w:val="22"/>
        </w:rPr>
        <w:t>,</w:t>
      </w:r>
      <w:r w:rsidR="00B732FE" w:rsidRPr="00020331">
        <w:rPr>
          <w:rFonts w:ascii="Arial" w:hAnsi="Arial" w:cs="Arial"/>
          <w:sz w:val="22"/>
          <w:szCs w:val="22"/>
        </w:rPr>
        <w:t xml:space="preserve"> together with </w:t>
      </w:r>
      <w:r w:rsidR="007808D4" w:rsidRPr="00020331">
        <w:rPr>
          <w:rFonts w:ascii="Arial" w:hAnsi="Arial" w:cs="Arial"/>
          <w:sz w:val="22"/>
          <w:szCs w:val="22"/>
        </w:rPr>
        <w:t>its</w:t>
      </w:r>
      <w:r w:rsidR="00B732FE" w:rsidRPr="00020331">
        <w:rPr>
          <w:rFonts w:ascii="Arial" w:hAnsi="Arial" w:cs="Arial"/>
          <w:sz w:val="22"/>
          <w:szCs w:val="22"/>
        </w:rPr>
        <w:t xml:space="preserve"> water service provider</w:t>
      </w:r>
      <w:r w:rsidR="003D4833" w:rsidRPr="00020331">
        <w:rPr>
          <w:rFonts w:ascii="Arial" w:hAnsi="Arial" w:cs="Arial"/>
          <w:sz w:val="22"/>
          <w:szCs w:val="22"/>
        </w:rPr>
        <w:t xml:space="preserve"> </w:t>
      </w:r>
      <w:r w:rsidR="00B732FE" w:rsidRPr="00020331">
        <w:rPr>
          <w:rFonts w:ascii="Arial" w:hAnsi="Arial" w:cs="Arial"/>
          <w:sz w:val="22"/>
          <w:szCs w:val="22"/>
        </w:rPr>
        <w:t>(Umgeni Water) is in the process of refurbishing and upgrading bulk infrastructure</w:t>
      </w:r>
      <w:r w:rsidR="003E1FC2" w:rsidRPr="00020331">
        <w:rPr>
          <w:rFonts w:ascii="Arial" w:hAnsi="Arial" w:cs="Arial"/>
          <w:sz w:val="22"/>
          <w:szCs w:val="22"/>
        </w:rPr>
        <w:t xml:space="preserve"> which includes</w:t>
      </w:r>
      <w:r w:rsidR="007808D4" w:rsidRPr="00020331">
        <w:rPr>
          <w:rFonts w:ascii="Arial" w:hAnsi="Arial" w:cs="Arial"/>
          <w:sz w:val="22"/>
          <w:szCs w:val="22"/>
        </w:rPr>
        <w:t xml:space="preserve"> upgrade and replacement of bulk pipelines</w:t>
      </w:r>
      <w:r w:rsidR="00F4719C" w:rsidRPr="00020331">
        <w:rPr>
          <w:rFonts w:ascii="Arial" w:hAnsi="Arial" w:cs="Arial"/>
          <w:sz w:val="22"/>
          <w:szCs w:val="22"/>
        </w:rPr>
        <w:t>.</w:t>
      </w:r>
      <w:r w:rsidR="00CE4B69" w:rsidRPr="00020331">
        <w:rPr>
          <w:rFonts w:ascii="Arial" w:hAnsi="Arial" w:cs="Arial"/>
          <w:sz w:val="22"/>
          <w:szCs w:val="22"/>
        </w:rPr>
        <w:t xml:space="preserve"> The refurbishment of Reservoir 3 began in November 2019 and is scheduled to be completed by August 2022.</w:t>
      </w:r>
    </w:p>
    <w:p w:rsidR="00790C94" w:rsidRDefault="00953C5E" w:rsidP="00953C5E">
      <w:pPr>
        <w:pStyle w:val="ListParagraph"/>
        <w:jc w:val="center"/>
        <w:rPr>
          <w:rFonts w:ascii="Arial" w:hAnsi="Arial" w:cs="Arial"/>
          <w:sz w:val="22"/>
          <w:szCs w:val="22"/>
        </w:rPr>
      </w:pPr>
      <w:r>
        <w:rPr>
          <w:rFonts w:ascii="Arial" w:hAnsi="Arial" w:cs="Arial"/>
          <w:sz w:val="22"/>
          <w:szCs w:val="22"/>
        </w:rPr>
        <w:t>---00O00---</w:t>
      </w:r>
    </w:p>
    <w:p w:rsidR="00953C5E" w:rsidRPr="009D42F1" w:rsidRDefault="00953C5E" w:rsidP="00953C5E">
      <w:pPr>
        <w:ind w:firstLine="720"/>
        <w:jc w:val="both"/>
        <w:rPr>
          <w:rFonts w:ascii="Arial" w:hAnsi="Arial" w:cs="Arial"/>
          <w:b/>
          <w:sz w:val="22"/>
          <w:szCs w:val="22"/>
        </w:rPr>
      </w:pPr>
    </w:p>
    <w:sectPr w:rsidR="00953C5E" w:rsidRPr="009D42F1" w:rsidSect="00953C5E">
      <w:footerReference w:type="default" r:id="rId8"/>
      <w:pgSz w:w="12240" w:h="15840"/>
      <w:pgMar w:top="1135" w:right="1041"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C0" w:rsidRDefault="00B943C0" w:rsidP="00B425C7">
      <w:r>
        <w:separator/>
      </w:r>
    </w:p>
  </w:endnote>
  <w:endnote w:type="continuationSeparator" w:id="0">
    <w:p w:rsidR="00B943C0" w:rsidRDefault="00B943C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0599A">
      <w:rPr>
        <w:rFonts w:ascii="Arial" w:hAnsi="Arial" w:cs="Arial"/>
        <w:sz w:val="16"/>
        <w:szCs w:val="16"/>
      </w:rPr>
      <w:t>19</w:t>
    </w:r>
    <w:r w:rsidR="00320428">
      <w:rPr>
        <w:rFonts w:ascii="Arial" w:hAnsi="Arial" w:cs="Arial"/>
        <w:sz w:val="16"/>
        <w:szCs w:val="16"/>
      </w:rPr>
      <w:tab/>
    </w:r>
    <w:r w:rsidR="00F95114">
      <w:rPr>
        <w:rFonts w:ascii="Arial" w:hAnsi="Arial" w:cs="Arial"/>
        <w:sz w:val="16"/>
        <w:szCs w:val="16"/>
      </w:rPr>
      <w:t>NW</w:t>
    </w:r>
    <w:r w:rsidR="0070599A">
      <w:rPr>
        <w:rFonts w:ascii="Arial" w:hAnsi="Arial" w:cs="Arial"/>
        <w:sz w:val="16"/>
        <w:szCs w:val="16"/>
      </w:rPr>
      <w:t>23</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C0" w:rsidRDefault="00B943C0" w:rsidP="00B425C7">
      <w:r>
        <w:separator/>
      </w:r>
    </w:p>
  </w:footnote>
  <w:footnote w:type="continuationSeparator" w:id="0">
    <w:p w:rsidR="00B943C0" w:rsidRDefault="00B943C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0B8"/>
    <w:multiLevelType w:val="hybridMultilevel"/>
    <w:tmpl w:val="17F68734"/>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15208"/>
    <w:multiLevelType w:val="hybridMultilevel"/>
    <w:tmpl w:val="17F68734"/>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2">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3">
    <w:nsid w:val="752F5502"/>
    <w:multiLevelType w:val="hybridMultilevel"/>
    <w:tmpl w:val="D004DB58"/>
    <w:lvl w:ilvl="0" w:tplc="E338771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5"/>
  </w:num>
  <w:num w:numId="4">
    <w:abstractNumId w:val="3"/>
  </w:num>
  <w:num w:numId="5">
    <w:abstractNumId w:val="7"/>
  </w:num>
  <w:num w:numId="6">
    <w:abstractNumId w:val="11"/>
  </w:num>
  <w:num w:numId="7">
    <w:abstractNumId w:val="8"/>
  </w:num>
  <w:num w:numId="8">
    <w:abstractNumId w:val="14"/>
  </w:num>
  <w:num w:numId="9">
    <w:abstractNumId w:val="6"/>
  </w:num>
  <w:num w:numId="10">
    <w:abstractNumId w:val="9"/>
  </w:num>
  <w:num w:numId="11">
    <w:abstractNumId w:val="10"/>
  </w:num>
  <w:num w:numId="12">
    <w:abstractNumId w:val="4"/>
  </w:num>
  <w:num w:numId="13">
    <w:abstractNumId w:val="12"/>
  </w:num>
  <w:num w:numId="14">
    <w:abstractNumId w:val="13"/>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B425C7"/>
    <w:rsid w:val="000016E5"/>
    <w:rsid w:val="00016BD3"/>
    <w:rsid w:val="00020331"/>
    <w:rsid w:val="00030DFB"/>
    <w:rsid w:val="00036748"/>
    <w:rsid w:val="0004074C"/>
    <w:rsid w:val="000446F4"/>
    <w:rsid w:val="00074524"/>
    <w:rsid w:val="000831BB"/>
    <w:rsid w:val="000C5E0E"/>
    <w:rsid w:val="000D1BE5"/>
    <w:rsid w:val="000E6B42"/>
    <w:rsid w:val="001001A2"/>
    <w:rsid w:val="00122733"/>
    <w:rsid w:val="00142EFB"/>
    <w:rsid w:val="001502EB"/>
    <w:rsid w:val="00157F05"/>
    <w:rsid w:val="001812CC"/>
    <w:rsid w:val="00181796"/>
    <w:rsid w:val="001823A8"/>
    <w:rsid w:val="00183C80"/>
    <w:rsid w:val="001B35A3"/>
    <w:rsid w:val="001B7A43"/>
    <w:rsid w:val="001D558B"/>
    <w:rsid w:val="001E51B8"/>
    <w:rsid w:val="001F5603"/>
    <w:rsid w:val="001F5C4A"/>
    <w:rsid w:val="002150F3"/>
    <w:rsid w:val="00220C7A"/>
    <w:rsid w:val="00230C75"/>
    <w:rsid w:val="002411EA"/>
    <w:rsid w:val="0025254A"/>
    <w:rsid w:val="00252C1E"/>
    <w:rsid w:val="002A33D7"/>
    <w:rsid w:val="002A49D6"/>
    <w:rsid w:val="002E0E61"/>
    <w:rsid w:val="002E28C0"/>
    <w:rsid w:val="002E6E62"/>
    <w:rsid w:val="002F5876"/>
    <w:rsid w:val="003076B5"/>
    <w:rsid w:val="00320428"/>
    <w:rsid w:val="00321013"/>
    <w:rsid w:val="00331137"/>
    <w:rsid w:val="00361A62"/>
    <w:rsid w:val="00380022"/>
    <w:rsid w:val="003810FA"/>
    <w:rsid w:val="00396F00"/>
    <w:rsid w:val="003971FA"/>
    <w:rsid w:val="003A2BBE"/>
    <w:rsid w:val="003A6E94"/>
    <w:rsid w:val="003B4A32"/>
    <w:rsid w:val="003C0532"/>
    <w:rsid w:val="003C072E"/>
    <w:rsid w:val="003C78B7"/>
    <w:rsid w:val="003D0A7E"/>
    <w:rsid w:val="003D15D2"/>
    <w:rsid w:val="003D4833"/>
    <w:rsid w:val="003D5644"/>
    <w:rsid w:val="003E1FC2"/>
    <w:rsid w:val="00426F76"/>
    <w:rsid w:val="00466EAD"/>
    <w:rsid w:val="00474C67"/>
    <w:rsid w:val="00481D62"/>
    <w:rsid w:val="00496665"/>
    <w:rsid w:val="004B4D92"/>
    <w:rsid w:val="004F49A4"/>
    <w:rsid w:val="00506E2B"/>
    <w:rsid w:val="0051142D"/>
    <w:rsid w:val="00521AE7"/>
    <w:rsid w:val="005233A0"/>
    <w:rsid w:val="005256FF"/>
    <w:rsid w:val="005372AE"/>
    <w:rsid w:val="00543F1D"/>
    <w:rsid w:val="0056431D"/>
    <w:rsid w:val="00572F73"/>
    <w:rsid w:val="00577F75"/>
    <w:rsid w:val="00582455"/>
    <w:rsid w:val="005B2BBC"/>
    <w:rsid w:val="005C36E2"/>
    <w:rsid w:val="005D2DE2"/>
    <w:rsid w:val="005F0147"/>
    <w:rsid w:val="00602DEC"/>
    <w:rsid w:val="006039D7"/>
    <w:rsid w:val="00620D7D"/>
    <w:rsid w:val="0064231A"/>
    <w:rsid w:val="00654995"/>
    <w:rsid w:val="00655ACE"/>
    <w:rsid w:val="00663F2F"/>
    <w:rsid w:val="006743BB"/>
    <w:rsid w:val="006930CF"/>
    <w:rsid w:val="006B157E"/>
    <w:rsid w:val="006C6246"/>
    <w:rsid w:val="006D12FA"/>
    <w:rsid w:val="006D2BE4"/>
    <w:rsid w:val="006D467A"/>
    <w:rsid w:val="006E5263"/>
    <w:rsid w:val="006E63DA"/>
    <w:rsid w:val="006F2C6E"/>
    <w:rsid w:val="0070388C"/>
    <w:rsid w:val="0070599A"/>
    <w:rsid w:val="0071106A"/>
    <w:rsid w:val="00714546"/>
    <w:rsid w:val="007245BB"/>
    <w:rsid w:val="00730FF0"/>
    <w:rsid w:val="0073119E"/>
    <w:rsid w:val="0075396C"/>
    <w:rsid w:val="007542EA"/>
    <w:rsid w:val="007736B5"/>
    <w:rsid w:val="007808D4"/>
    <w:rsid w:val="00790C94"/>
    <w:rsid w:val="00794352"/>
    <w:rsid w:val="007B5F00"/>
    <w:rsid w:val="007C3899"/>
    <w:rsid w:val="007D3043"/>
    <w:rsid w:val="007E12DD"/>
    <w:rsid w:val="007E49F2"/>
    <w:rsid w:val="007F0B2C"/>
    <w:rsid w:val="00800190"/>
    <w:rsid w:val="008113F4"/>
    <w:rsid w:val="008179CA"/>
    <w:rsid w:val="00827C48"/>
    <w:rsid w:val="00831CF8"/>
    <w:rsid w:val="00835C12"/>
    <w:rsid w:val="00853A3E"/>
    <w:rsid w:val="00870FDE"/>
    <w:rsid w:val="008732AD"/>
    <w:rsid w:val="008740F6"/>
    <w:rsid w:val="008C5C6B"/>
    <w:rsid w:val="008D06B0"/>
    <w:rsid w:val="008D7EBE"/>
    <w:rsid w:val="008E3EF2"/>
    <w:rsid w:val="008F6257"/>
    <w:rsid w:val="009031A0"/>
    <w:rsid w:val="00953C5E"/>
    <w:rsid w:val="00963A60"/>
    <w:rsid w:val="00970119"/>
    <w:rsid w:val="0097260B"/>
    <w:rsid w:val="00983286"/>
    <w:rsid w:val="00990959"/>
    <w:rsid w:val="00991FC7"/>
    <w:rsid w:val="009A5088"/>
    <w:rsid w:val="009B2AB0"/>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426B3"/>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324D8"/>
    <w:rsid w:val="00B425C7"/>
    <w:rsid w:val="00B44B76"/>
    <w:rsid w:val="00B45EDD"/>
    <w:rsid w:val="00B52304"/>
    <w:rsid w:val="00B61DEA"/>
    <w:rsid w:val="00B732FE"/>
    <w:rsid w:val="00B80014"/>
    <w:rsid w:val="00B84896"/>
    <w:rsid w:val="00B84ACE"/>
    <w:rsid w:val="00B93867"/>
    <w:rsid w:val="00B943C0"/>
    <w:rsid w:val="00BA3CEF"/>
    <w:rsid w:val="00BB175A"/>
    <w:rsid w:val="00BE4F5E"/>
    <w:rsid w:val="00C10852"/>
    <w:rsid w:val="00C36A1F"/>
    <w:rsid w:val="00C45B63"/>
    <w:rsid w:val="00C6195D"/>
    <w:rsid w:val="00C66E23"/>
    <w:rsid w:val="00C71DBB"/>
    <w:rsid w:val="00C73E91"/>
    <w:rsid w:val="00C91683"/>
    <w:rsid w:val="00C94E33"/>
    <w:rsid w:val="00CB23A0"/>
    <w:rsid w:val="00CB48F6"/>
    <w:rsid w:val="00CD1540"/>
    <w:rsid w:val="00CD3258"/>
    <w:rsid w:val="00CE4B69"/>
    <w:rsid w:val="00D03FF3"/>
    <w:rsid w:val="00D4312A"/>
    <w:rsid w:val="00D4621C"/>
    <w:rsid w:val="00D54604"/>
    <w:rsid w:val="00D7018D"/>
    <w:rsid w:val="00D76864"/>
    <w:rsid w:val="00D832BB"/>
    <w:rsid w:val="00D86FA6"/>
    <w:rsid w:val="00D9451A"/>
    <w:rsid w:val="00D9521B"/>
    <w:rsid w:val="00DA0702"/>
    <w:rsid w:val="00DB6146"/>
    <w:rsid w:val="00DC1C19"/>
    <w:rsid w:val="00DC5111"/>
    <w:rsid w:val="00DE5A13"/>
    <w:rsid w:val="00DF44C4"/>
    <w:rsid w:val="00DF769D"/>
    <w:rsid w:val="00E22831"/>
    <w:rsid w:val="00E34BD8"/>
    <w:rsid w:val="00E44929"/>
    <w:rsid w:val="00E510DA"/>
    <w:rsid w:val="00E6082E"/>
    <w:rsid w:val="00E67003"/>
    <w:rsid w:val="00E722E7"/>
    <w:rsid w:val="00E928E5"/>
    <w:rsid w:val="00EA33EF"/>
    <w:rsid w:val="00EA562C"/>
    <w:rsid w:val="00EE1640"/>
    <w:rsid w:val="00EE2A70"/>
    <w:rsid w:val="00EE6969"/>
    <w:rsid w:val="00F32449"/>
    <w:rsid w:val="00F40180"/>
    <w:rsid w:val="00F40190"/>
    <w:rsid w:val="00F42569"/>
    <w:rsid w:val="00F445F4"/>
    <w:rsid w:val="00F45143"/>
    <w:rsid w:val="00F4719C"/>
    <w:rsid w:val="00F70BD2"/>
    <w:rsid w:val="00F7567C"/>
    <w:rsid w:val="00F76F04"/>
    <w:rsid w:val="00F81351"/>
    <w:rsid w:val="00F95114"/>
    <w:rsid w:val="00F96274"/>
    <w:rsid w:val="00FA4F1A"/>
    <w:rsid w:val="00FA75BA"/>
    <w:rsid w:val="00FB2226"/>
    <w:rsid w:val="00FC0885"/>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2022-03-11T13:03:00Z</dcterms:created>
  <dcterms:modified xsi:type="dcterms:W3CDTF">2022-03-11T13:03:00Z</dcterms:modified>
</cp:coreProperties>
</file>