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14" w:rsidRPr="00B07114" w:rsidRDefault="00B07114" w:rsidP="00B07114">
      <w:pPr>
        <w:jc w:val="center"/>
        <w:rPr>
          <w:rFonts w:ascii="Arial" w:hAnsi="Arial" w:cs="Arial"/>
          <w:lang w:val="en-ZA" w:eastAsia="en-US"/>
        </w:rPr>
      </w:pPr>
      <w:r w:rsidRPr="00B07114">
        <w:rPr>
          <w:rFonts w:ascii="Arial" w:hAnsi="Arial" w:cs="Arial"/>
          <w:b/>
          <w:bCs/>
          <w:lang w:val="en-ZA" w:eastAsia="en-US"/>
        </w:rPr>
        <w:t>NATIONAL ASSEMBLY</w:t>
      </w:r>
    </w:p>
    <w:p w:rsidR="00B07114" w:rsidRPr="00B07114" w:rsidRDefault="00B07114" w:rsidP="00B07114">
      <w:pPr>
        <w:jc w:val="center"/>
        <w:rPr>
          <w:rFonts w:ascii="Arial" w:hAnsi="Arial" w:cs="Arial"/>
          <w:b/>
          <w:lang w:val="en-ZA" w:eastAsia="en-US"/>
        </w:rPr>
      </w:pPr>
      <w:r w:rsidRPr="00B07114">
        <w:rPr>
          <w:rFonts w:ascii="Arial" w:hAnsi="Arial" w:cs="Arial"/>
          <w:b/>
          <w:lang w:val="en-ZA" w:eastAsia="en-US"/>
        </w:rPr>
        <w:t>WITTEN REPLY</w:t>
      </w:r>
    </w:p>
    <w:p w:rsidR="00B07114" w:rsidRPr="00B07114" w:rsidRDefault="00B07114" w:rsidP="00B07114">
      <w:pPr>
        <w:rPr>
          <w:rFonts w:ascii="Arial" w:hAnsi="Arial" w:cs="Arial"/>
          <w:lang w:val="en-ZA" w:eastAsia="en-US"/>
        </w:rPr>
      </w:pPr>
    </w:p>
    <w:p w:rsidR="00B07114" w:rsidRPr="00B07114" w:rsidRDefault="00B07114" w:rsidP="00B07114">
      <w:pPr>
        <w:rPr>
          <w:rFonts w:ascii="Arial" w:hAnsi="Arial" w:cs="Arial"/>
          <w:b/>
          <w:bCs/>
          <w:lang w:val="en-ZA" w:eastAsia="en-US"/>
        </w:rPr>
      </w:pPr>
    </w:p>
    <w:p w:rsidR="00B07114" w:rsidRPr="00B07114" w:rsidRDefault="00B07114" w:rsidP="00B07114">
      <w:pPr>
        <w:rPr>
          <w:rFonts w:ascii="Arial" w:hAnsi="Arial" w:cs="Arial"/>
          <w:lang w:val="en-ZA" w:eastAsia="en-US"/>
        </w:rPr>
      </w:pPr>
      <w:r w:rsidRPr="00B07114">
        <w:rPr>
          <w:rFonts w:ascii="Arial" w:hAnsi="Arial" w:cs="Arial"/>
          <w:b/>
          <w:bCs/>
          <w:lang w:val="en-ZA" w:eastAsia="en-US"/>
        </w:rPr>
        <w:t>QUESTION 1895</w:t>
      </w:r>
    </w:p>
    <w:p w:rsidR="00B07114" w:rsidRPr="00B07114" w:rsidRDefault="00B07114" w:rsidP="00B07114">
      <w:pPr>
        <w:rPr>
          <w:rFonts w:ascii="Arial" w:hAnsi="Arial" w:cs="Arial"/>
          <w:lang w:val="en-ZA" w:eastAsia="en-US"/>
        </w:rPr>
      </w:pPr>
      <w:r w:rsidRPr="00B07114">
        <w:rPr>
          <w:rFonts w:ascii="Arial" w:hAnsi="Arial" w:cs="Arial"/>
          <w:lang w:val="en-ZA" w:eastAsia="en-US"/>
        </w:rPr>
        <w:t> </w:t>
      </w:r>
    </w:p>
    <w:p w:rsidR="00B07114" w:rsidRPr="00B07114" w:rsidRDefault="00B07114" w:rsidP="00B07114">
      <w:pPr>
        <w:rPr>
          <w:rFonts w:ascii="Arial" w:hAnsi="Arial" w:cs="Arial"/>
          <w:b/>
          <w:bCs/>
          <w:u w:val="single"/>
          <w:lang w:val="en-ZA" w:eastAsia="en-US"/>
        </w:rPr>
      </w:pPr>
      <w:r w:rsidRPr="00B07114">
        <w:rPr>
          <w:rFonts w:ascii="Arial" w:hAnsi="Arial" w:cs="Arial"/>
          <w:b/>
          <w:bCs/>
          <w:u w:val="single"/>
          <w:lang w:val="en-ZA" w:eastAsia="en-US"/>
        </w:rPr>
        <w:t>INTERNAL QUESTION PAPER [No 23-2017 FIFTH PARLIAMENT</w:t>
      </w:r>
      <w:proofErr w:type="gramStart"/>
      <w:r w:rsidRPr="00B07114">
        <w:rPr>
          <w:rFonts w:ascii="Arial" w:hAnsi="Arial" w:cs="Arial"/>
          <w:b/>
          <w:bCs/>
          <w:u w:val="single"/>
          <w:lang w:val="en-ZA" w:eastAsia="en-US"/>
        </w:rPr>
        <w:t>]</w:t>
      </w:r>
      <w:proofErr w:type="gramEnd"/>
      <w:r w:rsidRPr="00B07114">
        <w:rPr>
          <w:rFonts w:ascii="Arial" w:hAnsi="Arial" w:cs="Arial"/>
          <w:b/>
          <w:bCs/>
          <w:u w:val="single"/>
          <w:lang w:val="en-ZA" w:eastAsia="en-US"/>
        </w:rPr>
        <w:br/>
        <w:t>DATE OF PUBLICATION: 23 JUNE 2017</w:t>
      </w:r>
    </w:p>
    <w:p w:rsidR="00B07114" w:rsidRPr="00B07114" w:rsidRDefault="00B07114" w:rsidP="00B07114">
      <w:pPr>
        <w:rPr>
          <w:rFonts w:ascii="Arial" w:hAnsi="Arial" w:cs="Arial"/>
          <w:b/>
          <w:bCs/>
          <w:u w:val="single"/>
          <w:lang w:val="en-ZA" w:eastAsia="en-US"/>
        </w:rPr>
      </w:pPr>
    </w:p>
    <w:p w:rsidR="00B07114" w:rsidRPr="00B07114" w:rsidRDefault="00B07114" w:rsidP="00B07114">
      <w:pPr>
        <w:rPr>
          <w:rFonts w:ascii="Arial" w:eastAsiaTheme="minorHAnsi" w:hAnsi="Arial" w:cs="Arial"/>
          <w:b/>
          <w:lang w:eastAsia="en-US"/>
        </w:rPr>
      </w:pPr>
      <w:r w:rsidRPr="00B07114">
        <w:rPr>
          <w:rFonts w:ascii="Arial" w:eastAsiaTheme="minorHAnsi" w:hAnsi="Arial" w:cs="Arial"/>
          <w:b/>
          <w:lang w:eastAsia="en-US"/>
        </w:rPr>
        <w:t xml:space="preserve">1895. Ms N R </w:t>
      </w:r>
      <w:proofErr w:type="spellStart"/>
      <w:r w:rsidRPr="00B07114">
        <w:rPr>
          <w:rFonts w:ascii="Arial" w:eastAsiaTheme="minorHAnsi" w:hAnsi="Arial" w:cs="Arial"/>
          <w:b/>
          <w:lang w:eastAsia="en-US"/>
        </w:rPr>
        <w:t>Mashabela</w:t>
      </w:r>
      <w:proofErr w:type="spellEnd"/>
      <w:r w:rsidRPr="00B07114">
        <w:rPr>
          <w:rFonts w:ascii="Arial" w:eastAsiaTheme="minorHAnsi" w:hAnsi="Arial" w:cs="Arial"/>
          <w:b/>
          <w:lang w:eastAsia="en-US"/>
        </w:rPr>
        <w:t xml:space="preserve"> (EFF) to ask the Minister of Rural Development and Land </w:t>
      </w:r>
      <w:r w:rsidRPr="00B07114">
        <w:rPr>
          <w:rFonts w:ascii="Arial" w:eastAsiaTheme="minorHAnsi" w:hAnsi="Arial" w:cs="Arial"/>
          <w:b/>
          <w:lang w:val="af-ZA" w:eastAsia="en-US"/>
        </w:rPr>
        <w:t>Reform</w:t>
      </w:r>
      <w:r w:rsidRPr="00B07114">
        <w:rPr>
          <w:rFonts w:ascii="Arial" w:eastAsiaTheme="minorHAnsi" w:hAnsi="Arial" w:cs="Arial"/>
          <w:b/>
          <w:lang w:eastAsia="en-US"/>
        </w:rPr>
        <w:t>:</w:t>
      </w:r>
    </w:p>
    <w:p w:rsidR="00B07114" w:rsidRPr="00B07114" w:rsidRDefault="00B07114" w:rsidP="00B07114">
      <w:pPr>
        <w:rPr>
          <w:rFonts w:ascii="Arial" w:eastAsiaTheme="minorHAnsi" w:hAnsi="Arial" w:cs="Arial"/>
          <w:lang w:eastAsia="en-US"/>
        </w:rPr>
      </w:pPr>
    </w:p>
    <w:p w:rsidR="00B07114" w:rsidRPr="00B07114" w:rsidRDefault="00B07114" w:rsidP="00B07114">
      <w:pPr>
        <w:jc w:val="both"/>
        <w:rPr>
          <w:rFonts w:ascii="Arial" w:eastAsiaTheme="minorHAnsi" w:hAnsi="Arial" w:cs="Arial"/>
          <w:lang w:eastAsia="en-US"/>
        </w:rPr>
      </w:pPr>
      <w:r w:rsidRPr="00B07114">
        <w:rPr>
          <w:rFonts w:ascii="Arial" w:eastAsiaTheme="minorHAnsi" w:hAnsi="Arial" w:cs="Arial"/>
          <w:lang w:eastAsia="en-US"/>
        </w:rPr>
        <w:t xml:space="preserve">Whether (a) his department and (b) each entity reporting to him appointed transaction advisors for tenders in the </w:t>
      </w:r>
      <w:r w:rsidRPr="00B07114">
        <w:rPr>
          <w:rFonts w:ascii="Arial" w:eastAsiaTheme="minorHAnsi" w:hAnsi="Arial" w:cs="Arial"/>
          <w:lang w:val="en-ZA" w:eastAsia="en-US"/>
        </w:rPr>
        <w:t>period</w:t>
      </w:r>
      <w:r w:rsidRPr="00B07114">
        <w:rPr>
          <w:rFonts w:ascii="Arial" w:eastAsiaTheme="minorHAnsi" w:hAnsi="Arial" w:cs="Arial"/>
          <w:lang w:eastAsia="en-US"/>
        </w:rPr>
        <w:t xml:space="preserve"> 1 January 2012 to 31 December 2016; if so, (</w:t>
      </w:r>
      <w:proofErr w:type="spellStart"/>
      <w:r w:rsidRPr="00B07114">
        <w:rPr>
          <w:rFonts w:ascii="Arial" w:eastAsiaTheme="minorHAnsi" w:hAnsi="Arial" w:cs="Arial"/>
          <w:lang w:eastAsia="en-US"/>
        </w:rPr>
        <w:t>i</w:t>
      </w:r>
      <w:proofErr w:type="spellEnd"/>
      <w:r w:rsidRPr="00B07114">
        <w:rPr>
          <w:rFonts w:ascii="Arial" w:eastAsiaTheme="minorHAnsi" w:hAnsi="Arial" w:cs="Arial"/>
          <w:lang w:eastAsia="en-US"/>
        </w:rPr>
        <w:t>) who were the transaction advisors that were appointed for the tenders, (ii) for which tenders were they appointed, (iii) what was the pricing for the tenders in question and (iv) what amount were the tra</w:t>
      </w:r>
      <w:r w:rsidR="00D6281E">
        <w:rPr>
          <w:rFonts w:ascii="Arial" w:eastAsiaTheme="minorHAnsi" w:hAnsi="Arial" w:cs="Arial"/>
          <w:lang w:eastAsia="en-US"/>
        </w:rPr>
        <w:t>nsaction advisors paid?</w:t>
      </w:r>
      <w:r w:rsidR="00D6281E">
        <w:rPr>
          <w:rFonts w:ascii="Arial" w:eastAsiaTheme="minorHAnsi" w:hAnsi="Arial" w:cs="Arial"/>
          <w:lang w:eastAsia="en-US"/>
        </w:rPr>
        <w:tab/>
      </w:r>
      <w:r w:rsidR="00D6281E">
        <w:rPr>
          <w:rFonts w:ascii="Arial" w:eastAsiaTheme="minorHAnsi" w:hAnsi="Arial" w:cs="Arial"/>
          <w:lang w:eastAsia="en-US"/>
        </w:rPr>
        <w:tab/>
      </w:r>
      <w:r w:rsidRPr="00B07114">
        <w:rPr>
          <w:rFonts w:ascii="Arial" w:eastAsiaTheme="minorHAnsi" w:hAnsi="Arial" w:cs="Arial"/>
          <w:b/>
          <w:lang w:eastAsia="en-US"/>
        </w:rPr>
        <w:t>NW2107E</w:t>
      </w:r>
    </w:p>
    <w:p w:rsidR="00B07114" w:rsidRPr="00B07114" w:rsidRDefault="00B07114" w:rsidP="00B07114">
      <w:pPr>
        <w:jc w:val="both"/>
        <w:outlineLvl w:val="0"/>
        <w:rPr>
          <w:rFonts w:ascii="Arial" w:eastAsiaTheme="minorHAnsi" w:hAnsi="Arial" w:cs="Arial"/>
          <w:lang w:val="en-ZA" w:eastAsia="en-US"/>
        </w:rPr>
      </w:pPr>
    </w:p>
    <w:p w:rsidR="00B07114" w:rsidRPr="00B07114" w:rsidRDefault="00B07114" w:rsidP="00B07114">
      <w:pPr>
        <w:jc w:val="both"/>
        <w:outlineLvl w:val="0"/>
        <w:rPr>
          <w:rFonts w:ascii="Arial" w:eastAsiaTheme="minorHAnsi" w:hAnsi="Arial" w:cs="Arial"/>
          <w:lang w:val="en-ZA" w:eastAsia="en-US"/>
        </w:rPr>
      </w:pPr>
    </w:p>
    <w:p w:rsidR="00B07114" w:rsidRDefault="00B07114" w:rsidP="00B07114">
      <w:pPr>
        <w:jc w:val="both"/>
        <w:outlineLvl w:val="0"/>
        <w:rPr>
          <w:rFonts w:ascii="Arial" w:eastAsiaTheme="minorHAnsi" w:hAnsi="Arial" w:cs="Arial"/>
          <w:b/>
          <w:lang w:val="en-ZA" w:eastAsia="en-US"/>
        </w:rPr>
      </w:pPr>
      <w:r w:rsidRPr="00B07114">
        <w:rPr>
          <w:rFonts w:ascii="Arial" w:eastAsiaTheme="minorHAnsi" w:hAnsi="Arial" w:cs="Arial"/>
          <w:b/>
          <w:lang w:val="en-ZA" w:eastAsia="en-US"/>
        </w:rPr>
        <w:t>THE MINISTER OF RURAL DEVELOPMENT AND LAND REFORM:</w:t>
      </w:r>
    </w:p>
    <w:p w:rsidR="00087B08" w:rsidRPr="00B07114" w:rsidRDefault="00087B08" w:rsidP="00B07114">
      <w:pPr>
        <w:jc w:val="both"/>
        <w:outlineLvl w:val="0"/>
        <w:rPr>
          <w:rFonts w:ascii="Arial" w:eastAsiaTheme="minorHAnsi" w:hAnsi="Arial" w:cs="Arial"/>
          <w:lang w:val="en-ZA" w:eastAsia="en-US"/>
        </w:rPr>
      </w:pPr>
    </w:p>
    <w:tbl>
      <w:tblPr>
        <w:tblStyle w:val="TableGrid"/>
        <w:tblW w:w="10065" w:type="dxa"/>
        <w:tblInd w:w="-459" w:type="dxa"/>
        <w:tblLayout w:type="fixed"/>
        <w:tblLook w:val="04A0" w:firstRow="1" w:lastRow="0" w:firstColumn="1" w:lastColumn="0" w:noHBand="0" w:noVBand="1"/>
      </w:tblPr>
      <w:tblGrid>
        <w:gridCol w:w="1560"/>
        <w:gridCol w:w="1134"/>
        <w:gridCol w:w="1417"/>
        <w:gridCol w:w="1701"/>
        <w:gridCol w:w="1909"/>
        <w:gridCol w:w="2344"/>
      </w:tblGrid>
      <w:tr w:rsidR="00294841" w:rsidTr="00D01761">
        <w:tc>
          <w:tcPr>
            <w:tcW w:w="1560" w:type="dxa"/>
            <w:shd w:val="clear" w:color="auto" w:fill="D9D9D9" w:themeFill="background1" w:themeFillShade="D9"/>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Department / Entity</w:t>
            </w:r>
          </w:p>
        </w:tc>
        <w:tc>
          <w:tcPr>
            <w:tcW w:w="1134" w:type="dxa"/>
            <w:shd w:val="clear" w:color="auto" w:fill="D9D9D9" w:themeFill="background1" w:themeFillShade="D9"/>
          </w:tcPr>
          <w:p w:rsidR="00087B08" w:rsidRPr="00294841" w:rsidRDefault="00087B08" w:rsidP="00087B08">
            <w:pPr>
              <w:jc w:val="both"/>
              <w:rPr>
                <w:rFonts w:ascii="Arial" w:eastAsiaTheme="minorHAnsi" w:hAnsi="Arial" w:cs="Arial"/>
                <w:sz w:val="22"/>
                <w:szCs w:val="22"/>
                <w:lang w:val="en-ZA" w:eastAsia="en-US"/>
              </w:rPr>
            </w:pPr>
            <w:r w:rsidRPr="00294841">
              <w:rPr>
                <w:rFonts w:ascii="Arial" w:hAnsi="Arial" w:cs="Arial"/>
                <w:b/>
                <w:bCs/>
                <w:color w:val="000000"/>
                <w:sz w:val="22"/>
                <w:szCs w:val="22"/>
                <w:lang w:val="en-ZA" w:eastAsia="en-ZA"/>
              </w:rPr>
              <w:t xml:space="preserve">Period </w:t>
            </w:r>
          </w:p>
        </w:tc>
        <w:tc>
          <w:tcPr>
            <w:tcW w:w="1417" w:type="dxa"/>
            <w:shd w:val="clear" w:color="auto" w:fill="D9D9D9" w:themeFill="background1" w:themeFillShade="D9"/>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w:t>
            </w:r>
            <w:proofErr w:type="spellStart"/>
            <w:r w:rsidRPr="00294841">
              <w:rPr>
                <w:rFonts w:ascii="Arial" w:hAnsi="Arial" w:cs="Arial"/>
                <w:b/>
                <w:bCs/>
                <w:color w:val="000000"/>
                <w:sz w:val="22"/>
                <w:szCs w:val="22"/>
                <w:lang w:val="en-ZA" w:eastAsia="en-ZA"/>
              </w:rPr>
              <w:t>i</w:t>
            </w:r>
            <w:proofErr w:type="spellEnd"/>
            <w:r w:rsidRPr="00294841">
              <w:rPr>
                <w:rFonts w:ascii="Arial" w:hAnsi="Arial" w:cs="Arial"/>
                <w:b/>
                <w:bCs/>
                <w:color w:val="000000"/>
                <w:sz w:val="22"/>
                <w:szCs w:val="22"/>
                <w:lang w:val="en-ZA" w:eastAsia="en-ZA"/>
              </w:rPr>
              <w:t>)</w:t>
            </w:r>
          </w:p>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Name of transaction advisors</w:t>
            </w:r>
          </w:p>
        </w:tc>
        <w:tc>
          <w:tcPr>
            <w:tcW w:w="1701" w:type="dxa"/>
            <w:shd w:val="clear" w:color="auto" w:fill="D9D9D9" w:themeFill="background1" w:themeFillShade="D9"/>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(ii)</w:t>
            </w:r>
          </w:p>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Tenders appointed for</w:t>
            </w:r>
          </w:p>
        </w:tc>
        <w:tc>
          <w:tcPr>
            <w:tcW w:w="1909" w:type="dxa"/>
            <w:shd w:val="clear" w:color="auto" w:fill="D9D9D9" w:themeFill="background1" w:themeFillShade="D9"/>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(iii)</w:t>
            </w:r>
          </w:p>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Pricing for tenders</w:t>
            </w:r>
          </w:p>
        </w:tc>
        <w:tc>
          <w:tcPr>
            <w:tcW w:w="2344" w:type="dxa"/>
            <w:shd w:val="clear" w:color="auto" w:fill="D9D9D9" w:themeFill="background1" w:themeFillShade="D9"/>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(iv)</w:t>
            </w:r>
          </w:p>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sz w:val="22"/>
                <w:szCs w:val="22"/>
                <w:lang w:val="en-ZA" w:eastAsia="en-ZA"/>
              </w:rPr>
              <w:t>Amount paid to transaction advisors from 01 Jan 2012 to 31 Dec 2016</w:t>
            </w:r>
          </w:p>
        </w:tc>
      </w:tr>
      <w:tr w:rsidR="00087B08" w:rsidTr="00D01761">
        <w:tc>
          <w:tcPr>
            <w:tcW w:w="1560" w:type="dxa"/>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b/>
                <w:bCs/>
                <w:color w:val="000000"/>
                <w:sz w:val="22"/>
                <w:szCs w:val="22"/>
                <w:lang w:val="en-ZA" w:eastAsia="en-ZA"/>
              </w:rPr>
              <w:t>(a) DRDLR</w:t>
            </w:r>
          </w:p>
        </w:tc>
        <w:tc>
          <w:tcPr>
            <w:tcW w:w="1134" w:type="dxa"/>
          </w:tcPr>
          <w:p w:rsidR="00087B08" w:rsidRPr="00294841" w:rsidRDefault="00087B08" w:rsidP="00087B08">
            <w:pPr>
              <w:jc w:val="both"/>
              <w:rPr>
                <w:rFonts w:ascii="Arial" w:hAnsi="Arial" w:cs="Arial"/>
                <w:bCs/>
                <w:color w:val="000000"/>
                <w:sz w:val="22"/>
                <w:szCs w:val="22"/>
                <w:lang w:val="en-ZA" w:eastAsia="en-ZA"/>
              </w:rPr>
            </w:pPr>
            <w:r w:rsidRPr="00294841">
              <w:rPr>
                <w:rFonts w:ascii="Arial" w:hAnsi="Arial" w:cs="Arial"/>
                <w:bCs/>
                <w:color w:val="000000"/>
                <w:sz w:val="22"/>
                <w:szCs w:val="22"/>
                <w:lang w:val="en-ZA" w:eastAsia="en-ZA"/>
              </w:rPr>
              <w:t>2004 to date</w:t>
            </w:r>
          </w:p>
        </w:tc>
        <w:tc>
          <w:tcPr>
            <w:tcW w:w="1417" w:type="dxa"/>
          </w:tcPr>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color w:val="000000"/>
                <w:sz w:val="22"/>
                <w:szCs w:val="22"/>
                <w:lang w:val="en-ZA" w:eastAsia="en-ZA"/>
              </w:rPr>
              <w:t>SPP Project Solutions Pty (Ltd)</w:t>
            </w:r>
          </w:p>
        </w:tc>
        <w:tc>
          <w:tcPr>
            <w:tcW w:w="1701" w:type="dxa"/>
          </w:tcPr>
          <w:p w:rsidR="00087B08" w:rsidRPr="00294841" w:rsidRDefault="00087B08" w:rsidP="00087B08">
            <w:pPr>
              <w:jc w:val="both"/>
              <w:rPr>
                <w:rFonts w:ascii="Arial" w:hAnsi="Arial" w:cs="Arial"/>
                <w:b/>
                <w:bCs/>
                <w:color w:val="000000"/>
                <w:sz w:val="22"/>
                <w:szCs w:val="22"/>
                <w:lang w:val="en-ZA" w:eastAsia="en-ZA"/>
              </w:rPr>
            </w:pPr>
            <w:r w:rsidRPr="00294841">
              <w:rPr>
                <w:rFonts w:ascii="Arial" w:eastAsiaTheme="minorHAnsi" w:hAnsi="Arial" w:cs="Arial"/>
                <w:bCs/>
                <w:sz w:val="22"/>
                <w:szCs w:val="22"/>
                <w:lang w:val="en-ZA" w:eastAsia="en-US"/>
              </w:rPr>
              <w:t>Appointment of transactional advisor for the procurement of a suitable and sustainable services working environment (new head office) through a public private partnership</w:t>
            </w:r>
          </w:p>
        </w:tc>
        <w:tc>
          <w:tcPr>
            <w:tcW w:w="1909" w:type="dxa"/>
          </w:tcPr>
          <w:p w:rsidR="00BD48C1" w:rsidRPr="0035600F" w:rsidRDefault="0035600F" w:rsidP="0035600F">
            <w:pPr>
              <w:rPr>
                <w:rFonts w:ascii="Arial" w:hAnsi="Arial" w:cs="Arial"/>
                <w:color w:val="000000"/>
                <w:sz w:val="22"/>
                <w:szCs w:val="22"/>
                <w:lang w:val="en-ZA" w:eastAsia="en-ZA"/>
              </w:rPr>
            </w:pPr>
            <w:r>
              <w:rPr>
                <w:rFonts w:ascii="Arial" w:hAnsi="Arial" w:cs="Arial"/>
                <w:color w:val="000000"/>
                <w:sz w:val="22"/>
                <w:szCs w:val="22"/>
                <w:lang w:val="en-ZA" w:eastAsia="en-ZA"/>
              </w:rPr>
              <w:t xml:space="preserve">PPP project </w:t>
            </w:r>
            <w:r w:rsidR="00B80B96">
              <w:rPr>
                <w:rFonts w:ascii="Arial" w:hAnsi="Arial" w:cs="Arial"/>
                <w:color w:val="000000"/>
                <w:sz w:val="22"/>
                <w:szCs w:val="22"/>
                <w:lang w:val="en-ZA" w:eastAsia="en-ZA"/>
              </w:rPr>
              <w:t xml:space="preserve">value </w:t>
            </w:r>
            <w:r w:rsidR="00B80B96" w:rsidRPr="0035600F">
              <w:rPr>
                <w:rFonts w:ascii="Arial" w:hAnsi="Arial" w:cs="Arial"/>
                <w:color w:val="000000"/>
                <w:sz w:val="22"/>
                <w:szCs w:val="22"/>
                <w:lang w:val="en-ZA" w:eastAsia="en-ZA"/>
              </w:rPr>
              <w:t>R1 772 327 000</w:t>
            </w:r>
          </w:p>
          <w:p w:rsidR="0035600F" w:rsidRDefault="0035600F" w:rsidP="00087B08">
            <w:pPr>
              <w:jc w:val="both"/>
              <w:rPr>
                <w:rFonts w:ascii="Arial" w:hAnsi="Arial" w:cs="Arial"/>
                <w:color w:val="000000"/>
                <w:sz w:val="22"/>
                <w:szCs w:val="22"/>
                <w:lang w:val="en-ZA" w:eastAsia="en-ZA"/>
              </w:rPr>
            </w:pPr>
          </w:p>
          <w:p w:rsidR="0035600F" w:rsidRDefault="0035600F" w:rsidP="00087B08">
            <w:pPr>
              <w:jc w:val="both"/>
              <w:rPr>
                <w:rFonts w:ascii="Arial" w:hAnsi="Arial" w:cs="Arial"/>
                <w:color w:val="000000"/>
                <w:sz w:val="22"/>
                <w:szCs w:val="22"/>
                <w:lang w:val="en-ZA" w:eastAsia="en-ZA"/>
              </w:rPr>
            </w:pPr>
          </w:p>
          <w:p w:rsidR="0035600F" w:rsidRDefault="0035600F" w:rsidP="00087B08">
            <w:pPr>
              <w:jc w:val="both"/>
              <w:rPr>
                <w:rFonts w:ascii="Arial" w:eastAsiaTheme="minorHAnsi" w:hAnsi="Arial" w:cs="Arial"/>
                <w:bCs/>
                <w:sz w:val="22"/>
                <w:szCs w:val="22"/>
                <w:lang w:val="en-ZA" w:eastAsia="en-US"/>
              </w:rPr>
            </w:pPr>
            <w:r>
              <w:rPr>
                <w:rFonts w:ascii="Arial" w:eastAsiaTheme="minorHAnsi" w:hAnsi="Arial" w:cs="Arial"/>
                <w:bCs/>
                <w:sz w:val="22"/>
                <w:szCs w:val="22"/>
                <w:lang w:val="en-ZA" w:eastAsia="en-US"/>
              </w:rPr>
              <w:t>T</w:t>
            </w:r>
            <w:r w:rsidRPr="00294841">
              <w:rPr>
                <w:rFonts w:ascii="Arial" w:eastAsiaTheme="minorHAnsi" w:hAnsi="Arial" w:cs="Arial"/>
                <w:bCs/>
                <w:sz w:val="22"/>
                <w:szCs w:val="22"/>
                <w:lang w:val="en-ZA" w:eastAsia="en-US"/>
              </w:rPr>
              <w:t>ransactional advisor</w:t>
            </w:r>
            <w:r>
              <w:rPr>
                <w:rFonts w:ascii="Arial" w:eastAsiaTheme="minorHAnsi" w:hAnsi="Arial" w:cs="Arial"/>
                <w:bCs/>
                <w:sz w:val="22"/>
                <w:szCs w:val="22"/>
                <w:lang w:val="en-ZA" w:eastAsia="en-US"/>
              </w:rPr>
              <w:t xml:space="preserve"> contract value</w:t>
            </w:r>
          </w:p>
          <w:p w:rsidR="0035600F" w:rsidRDefault="0035600F" w:rsidP="00087B08">
            <w:pPr>
              <w:jc w:val="both"/>
              <w:rPr>
                <w:rFonts w:ascii="Arial" w:hAnsi="Arial" w:cs="Arial"/>
                <w:color w:val="000000"/>
                <w:sz w:val="22"/>
                <w:szCs w:val="22"/>
                <w:lang w:val="en-ZA" w:eastAsia="en-ZA"/>
              </w:rPr>
            </w:pPr>
          </w:p>
          <w:p w:rsidR="00087B08" w:rsidRPr="00294841" w:rsidRDefault="00087B08" w:rsidP="00087B08">
            <w:pPr>
              <w:jc w:val="both"/>
              <w:rPr>
                <w:rFonts w:ascii="Arial" w:hAnsi="Arial" w:cs="Arial"/>
                <w:color w:val="000000"/>
                <w:sz w:val="22"/>
                <w:szCs w:val="22"/>
                <w:lang w:val="en-ZA" w:eastAsia="en-ZA"/>
              </w:rPr>
            </w:pPr>
            <w:r w:rsidRPr="00294841">
              <w:rPr>
                <w:rFonts w:ascii="Arial" w:hAnsi="Arial" w:cs="Arial"/>
                <w:color w:val="000000"/>
                <w:sz w:val="22"/>
                <w:szCs w:val="22"/>
                <w:lang w:val="en-ZA" w:eastAsia="en-ZA"/>
              </w:rPr>
              <w:t xml:space="preserve">R10 585 443.00 </w:t>
            </w:r>
          </w:p>
          <w:p w:rsidR="00087B08" w:rsidRPr="00294841" w:rsidRDefault="00087B08" w:rsidP="00087B08">
            <w:pPr>
              <w:jc w:val="both"/>
              <w:rPr>
                <w:rFonts w:ascii="Arial" w:hAnsi="Arial" w:cs="Arial"/>
                <w:b/>
                <w:bCs/>
                <w:color w:val="000000"/>
                <w:sz w:val="22"/>
                <w:szCs w:val="22"/>
                <w:lang w:val="en-ZA" w:eastAsia="en-ZA"/>
              </w:rPr>
            </w:pPr>
            <w:r w:rsidRPr="00294841">
              <w:rPr>
                <w:rFonts w:ascii="Arial" w:hAnsi="Arial" w:cs="Arial"/>
                <w:color w:val="000000"/>
                <w:sz w:val="22"/>
                <w:szCs w:val="22"/>
                <w:lang w:val="en-ZA" w:eastAsia="en-ZA"/>
              </w:rPr>
              <w:t>(Including VAT excluding disbursements</w:t>
            </w:r>
          </w:p>
        </w:tc>
        <w:tc>
          <w:tcPr>
            <w:tcW w:w="2344" w:type="dxa"/>
          </w:tcPr>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35600F" w:rsidRDefault="0035600F" w:rsidP="00294841">
            <w:pPr>
              <w:jc w:val="both"/>
              <w:rPr>
                <w:rFonts w:ascii="Arial" w:hAnsi="Arial" w:cs="Arial"/>
                <w:color w:val="000000"/>
                <w:sz w:val="22"/>
                <w:szCs w:val="22"/>
                <w:lang w:val="en-ZA" w:eastAsia="en-ZA"/>
              </w:rPr>
            </w:pPr>
          </w:p>
          <w:p w:rsidR="00087B08" w:rsidRPr="00294841" w:rsidRDefault="00087B08" w:rsidP="00294841">
            <w:pPr>
              <w:jc w:val="both"/>
              <w:rPr>
                <w:rFonts w:ascii="Arial" w:hAnsi="Arial" w:cs="Arial"/>
                <w:b/>
                <w:bCs/>
                <w:color w:val="000000"/>
                <w:sz w:val="22"/>
                <w:szCs w:val="22"/>
                <w:lang w:val="en-ZA" w:eastAsia="en-ZA"/>
              </w:rPr>
            </w:pPr>
            <w:r w:rsidRPr="00294841">
              <w:rPr>
                <w:rFonts w:ascii="Arial" w:hAnsi="Arial" w:cs="Arial"/>
                <w:color w:val="000000"/>
                <w:sz w:val="22"/>
                <w:szCs w:val="22"/>
                <w:lang w:val="en-ZA" w:eastAsia="en-ZA"/>
              </w:rPr>
              <w:t>R</w:t>
            </w:r>
            <w:r w:rsidRPr="00294841">
              <w:rPr>
                <w:rFonts w:ascii="Arial" w:eastAsiaTheme="minorHAnsi" w:hAnsi="Arial" w:cs="Arial"/>
                <w:color w:val="000000"/>
                <w:sz w:val="22"/>
                <w:szCs w:val="22"/>
                <w:lang w:val="en-ZA" w:eastAsia="en-US"/>
              </w:rPr>
              <w:t>5 534 878.50</w:t>
            </w:r>
          </w:p>
        </w:tc>
      </w:tr>
      <w:tr w:rsidR="0041706B" w:rsidTr="00224958">
        <w:tc>
          <w:tcPr>
            <w:tcW w:w="1560" w:type="dxa"/>
          </w:tcPr>
          <w:p w:rsidR="0041706B" w:rsidRPr="00294841" w:rsidRDefault="0041706B" w:rsidP="00087B08">
            <w:pPr>
              <w:jc w:val="both"/>
              <w:rPr>
                <w:rFonts w:ascii="Arial" w:hAnsi="Arial" w:cs="Arial"/>
                <w:b/>
                <w:bCs/>
                <w:color w:val="000000"/>
                <w:sz w:val="22"/>
                <w:szCs w:val="22"/>
                <w:lang w:val="en-ZA" w:eastAsia="en-ZA"/>
              </w:rPr>
            </w:pPr>
            <w:r>
              <w:rPr>
                <w:rFonts w:ascii="Arial" w:hAnsi="Arial" w:cs="Arial"/>
                <w:b/>
                <w:bCs/>
                <w:color w:val="000000"/>
                <w:sz w:val="22"/>
                <w:szCs w:val="22"/>
                <w:lang w:val="en-ZA" w:eastAsia="en-ZA"/>
              </w:rPr>
              <w:t>(b) Entities</w:t>
            </w:r>
          </w:p>
        </w:tc>
        <w:tc>
          <w:tcPr>
            <w:tcW w:w="8505" w:type="dxa"/>
            <w:gridSpan w:val="5"/>
          </w:tcPr>
          <w:p w:rsidR="0041706B" w:rsidRDefault="0041706B" w:rsidP="0041706B">
            <w:pPr>
              <w:jc w:val="center"/>
              <w:rPr>
                <w:rFonts w:ascii="Arial" w:hAnsi="Arial" w:cs="Arial"/>
                <w:color w:val="000000"/>
                <w:sz w:val="22"/>
                <w:szCs w:val="22"/>
                <w:lang w:val="en-ZA" w:eastAsia="en-ZA"/>
              </w:rPr>
            </w:pPr>
            <w:r>
              <w:rPr>
                <w:rFonts w:ascii="Arial" w:hAnsi="Arial" w:cs="Arial"/>
                <w:color w:val="000000"/>
                <w:sz w:val="22"/>
                <w:szCs w:val="22"/>
                <w:lang w:val="en-ZA" w:eastAsia="en-ZA"/>
              </w:rPr>
              <w:t>None</w:t>
            </w:r>
          </w:p>
        </w:tc>
      </w:tr>
    </w:tbl>
    <w:p w:rsidR="00757F9C" w:rsidRDefault="00757F9C" w:rsidP="00B07114">
      <w:pPr>
        <w:tabs>
          <w:tab w:val="left" w:pos="142"/>
        </w:tabs>
        <w:jc w:val="both"/>
        <w:rPr>
          <w:rFonts w:ascii="Arial" w:eastAsiaTheme="minorHAnsi" w:hAnsi="Arial" w:cs="Arial"/>
          <w:b/>
          <w:lang w:val="en-ZA" w:eastAsia="en-US"/>
        </w:rPr>
      </w:pPr>
      <w:bookmarkStart w:id="0" w:name="_GoBack"/>
      <w:bookmarkEnd w:id="0"/>
    </w:p>
    <w:sectPr w:rsidR="00757F9C" w:rsidSect="00A54D76">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6C1"/>
    <w:multiLevelType w:val="hybridMultilevel"/>
    <w:tmpl w:val="F162C320"/>
    <w:lvl w:ilvl="0" w:tplc="DB805B6E">
      <w:start w:val="2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B3D33A5"/>
    <w:multiLevelType w:val="hybridMultilevel"/>
    <w:tmpl w:val="E116B2EC"/>
    <w:lvl w:ilvl="0" w:tplc="6462686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2B35218"/>
    <w:multiLevelType w:val="hybridMultilevel"/>
    <w:tmpl w:val="1CDA3DD8"/>
    <w:lvl w:ilvl="0" w:tplc="79C63C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79F2DFC"/>
    <w:multiLevelType w:val="hybridMultilevel"/>
    <w:tmpl w:val="FA0E874C"/>
    <w:lvl w:ilvl="0" w:tplc="00CCD1F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C01473"/>
    <w:multiLevelType w:val="hybridMultilevel"/>
    <w:tmpl w:val="6A7A28A2"/>
    <w:lvl w:ilvl="0" w:tplc="22069D7A">
      <w:start w:val="1"/>
      <w:numFmt w:val="bullet"/>
      <w:lvlText w:val="o"/>
      <w:lvlJc w:val="left"/>
      <w:pPr>
        <w:tabs>
          <w:tab w:val="num" w:pos="720"/>
        </w:tabs>
        <w:ind w:left="720" w:hanging="360"/>
      </w:pPr>
      <w:rPr>
        <w:rFonts w:ascii="Courier New" w:hAnsi="Courier New" w:hint="default"/>
      </w:rPr>
    </w:lvl>
    <w:lvl w:ilvl="1" w:tplc="E1C019B2" w:tentative="1">
      <w:start w:val="1"/>
      <w:numFmt w:val="bullet"/>
      <w:lvlText w:val="o"/>
      <w:lvlJc w:val="left"/>
      <w:pPr>
        <w:tabs>
          <w:tab w:val="num" w:pos="1440"/>
        </w:tabs>
        <w:ind w:left="1440" w:hanging="360"/>
      </w:pPr>
      <w:rPr>
        <w:rFonts w:ascii="Courier New" w:hAnsi="Courier New" w:hint="default"/>
      </w:rPr>
    </w:lvl>
    <w:lvl w:ilvl="2" w:tplc="FF8A0D82" w:tentative="1">
      <w:start w:val="1"/>
      <w:numFmt w:val="bullet"/>
      <w:lvlText w:val="o"/>
      <w:lvlJc w:val="left"/>
      <w:pPr>
        <w:tabs>
          <w:tab w:val="num" w:pos="2160"/>
        </w:tabs>
        <w:ind w:left="2160" w:hanging="360"/>
      </w:pPr>
      <w:rPr>
        <w:rFonts w:ascii="Courier New" w:hAnsi="Courier New" w:hint="default"/>
      </w:rPr>
    </w:lvl>
    <w:lvl w:ilvl="3" w:tplc="8EEA288A" w:tentative="1">
      <w:start w:val="1"/>
      <w:numFmt w:val="bullet"/>
      <w:lvlText w:val="o"/>
      <w:lvlJc w:val="left"/>
      <w:pPr>
        <w:tabs>
          <w:tab w:val="num" w:pos="2880"/>
        </w:tabs>
        <w:ind w:left="2880" w:hanging="360"/>
      </w:pPr>
      <w:rPr>
        <w:rFonts w:ascii="Courier New" w:hAnsi="Courier New" w:hint="default"/>
      </w:rPr>
    </w:lvl>
    <w:lvl w:ilvl="4" w:tplc="BF14DC98" w:tentative="1">
      <w:start w:val="1"/>
      <w:numFmt w:val="bullet"/>
      <w:lvlText w:val="o"/>
      <w:lvlJc w:val="left"/>
      <w:pPr>
        <w:tabs>
          <w:tab w:val="num" w:pos="3600"/>
        </w:tabs>
        <w:ind w:left="3600" w:hanging="360"/>
      </w:pPr>
      <w:rPr>
        <w:rFonts w:ascii="Courier New" w:hAnsi="Courier New" w:hint="default"/>
      </w:rPr>
    </w:lvl>
    <w:lvl w:ilvl="5" w:tplc="52B41FDC" w:tentative="1">
      <w:start w:val="1"/>
      <w:numFmt w:val="bullet"/>
      <w:lvlText w:val="o"/>
      <w:lvlJc w:val="left"/>
      <w:pPr>
        <w:tabs>
          <w:tab w:val="num" w:pos="4320"/>
        </w:tabs>
        <w:ind w:left="4320" w:hanging="360"/>
      </w:pPr>
      <w:rPr>
        <w:rFonts w:ascii="Courier New" w:hAnsi="Courier New" w:hint="default"/>
      </w:rPr>
    </w:lvl>
    <w:lvl w:ilvl="6" w:tplc="87FAF030" w:tentative="1">
      <w:start w:val="1"/>
      <w:numFmt w:val="bullet"/>
      <w:lvlText w:val="o"/>
      <w:lvlJc w:val="left"/>
      <w:pPr>
        <w:tabs>
          <w:tab w:val="num" w:pos="5040"/>
        </w:tabs>
        <w:ind w:left="5040" w:hanging="360"/>
      </w:pPr>
      <w:rPr>
        <w:rFonts w:ascii="Courier New" w:hAnsi="Courier New" w:hint="default"/>
      </w:rPr>
    </w:lvl>
    <w:lvl w:ilvl="7" w:tplc="E416A48A" w:tentative="1">
      <w:start w:val="1"/>
      <w:numFmt w:val="bullet"/>
      <w:lvlText w:val="o"/>
      <w:lvlJc w:val="left"/>
      <w:pPr>
        <w:tabs>
          <w:tab w:val="num" w:pos="5760"/>
        </w:tabs>
        <w:ind w:left="5760" w:hanging="360"/>
      </w:pPr>
      <w:rPr>
        <w:rFonts w:ascii="Courier New" w:hAnsi="Courier New" w:hint="default"/>
      </w:rPr>
    </w:lvl>
    <w:lvl w:ilvl="8" w:tplc="BEE4A4A8" w:tentative="1">
      <w:start w:val="1"/>
      <w:numFmt w:val="bullet"/>
      <w:lvlText w:val="o"/>
      <w:lvlJc w:val="left"/>
      <w:pPr>
        <w:tabs>
          <w:tab w:val="num" w:pos="6480"/>
        </w:tabs>
        <w:ind w:left="6480" w:hanging="360"/>
      </w:pPr>
      <w:rPr>
        <w:rFonts w:ascii="Courier New" w:hAnsi="Courier New" w:hint="default"/>
      </w:rPr>
    </w:lvl>
  </w:abstractNum>
  <w:abstractNum w:abstractNumId="9">
    <w:nsid w:val="751E4279"/>
    <w:multiLevelType w:val="hybridMultilevel"/>
    <w:tmpl w:val="DF60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9"/>
  </w:num>
  <w:num w:numId="6">
    <w:abstractNumId w:val="5"/>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004B21"/>
    <w:rsid w:val="00005D20"/>
    <w:rsid w:val="00011ECB"/>
    <w:rsid w:val="00012CDA"/>
    <w:rsid w:val="00014B00"/>
    <w:rsid w:val="00017B12"/>
    <w:rsid w:val="00020987"/>
    <w:rsid w:val="00023395"/>
    <w:rsid w:val="00042A30"/>
    <w:rsid w:val="0005319C"/>
    <w:rsid w:val="00071A9D"/>
    <w:rsid w:val="00082944"/>
    <w:rsid w:val="00083812"/>
    <w:rsid w:val="00085E98"/>
    <w:rsid w:val="00087B08"/>
    <w:rsid w:val="00097403"/>
    <w:rsid w:val="000A5FA8"/>
    <w:rsid w:val="000B43DB"/>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5402D"/>
    <w:rsid w:val="00163EE3"/>
    <w:rsid w:val="001669C5"/>
    <w:rsid w:val="00167A84"/>
    <w:rsid w:val="00171AB2"/>
    <w:rsid w:val="00174D5F"/>
    <w:rsid w:val="00187AE1"/>
    <w:rsid w:val="00193585"/>
    <w:rsid w:val="001A0270"/>
    <w:rsid w:val="001A31AD"/>
    <w:rsid w:val="001B6E43"/>
    <w:rsid w:val="001C5D8A"/>
    <w:rsid w:val="001C6328"/>
    <w:rsid w:val="001D45C4"/>
    <w:rsid w:val="001F13DA"/>
    <w:rsid w:val="001F532D"/>
    <w:rsid w:val="00206360"/>
    <w:rsid w:val="002066AF"/>
    <w:rsid w:val="0021549C"/>
    <w:rsid w:val="002200AC"/>
    <w:rsid w:val="00221BED"/>
    <w:rsid w:val="002227E3"/>
    <w:rsid w:val="00233609"/>
    <w:rsid w:val="00233A41"/>
    <w:rsid w:val="002362BC"/>
    <w:rsid w:val="00237EFB"/>
    <w:rsid w:val="002442C9"/>
    <w:rsid w:val="00245DD0"/>
    <w:rsid w:val="002637F3"/>
    <w:rsid w:val="00275BA2"/>
    <w:rsid w:val="002776B5"/>
    <w:rsid w:val="0029412F"/>
    <w:rsid w:val="00294841"/>
    <w:rsid w:val="002A641E"/>
    <w:rsid w:val="002B090A"/>
    <w:rsid w:val="002B13D7"/>
    <w:rsid w:val="002D1BAF"/>
    <w:rsid w:val="002D5A6A"/>
    <w:rsid w:val="002E0338"/>
    <w:rsid w:val="002E228E"/>
    <w:rsid w:val="002E28C4"/>
    <w:rsid w:val="002F4599"/>
    <w:rsid w:val="0030357E"/>
    <w:rsid w:val="003102B5"/>
    <w:rsid w:val="00331AE8"/>
    <w:rsid w:val="003321F8"/>
    <w:rsid w:val="0034688C"/>
    <w:rsid w:val="00346E98"/>
    <w:rsid w:val="00350A4B"/>
    <w:rsid w:val="00351EAF"/>
    <w:rsid w:val="0035600F"/>
    <w:rsid w:val="00362BB0"/>
    <w:rsid w:val="0036381A"/>
    <w:rsid w:val="00371943"/>
    <w:rsid w:val="00372C48"/>
    <w:rsid w:val="00373646"/>
    <w:rsid w:val="0038131E"/>
    <w:rsid w:val="00381DF9"/>
    <w:rsid w:val="00386CAE"/>
    <w:rsid w:val="00396C94"/>
    <w:rsid w:val="003A2B0C"/>
    <w:rsid w:val="003A460B"/>
    <w:rsid w:val="003A473E"/>
    <w:rsid w:val="003A5DF0"/>
    <w:rsid w:val="003A7729"/>
    <w:rsid w:val="003B0792"/>
    <w:rsid w:val="003C31B1"/>
    <w:rsid w:val="003D408D"/>
    <w:rsid w:val="003F430E"/>
    <w:rsid w:val="003F76D0"/>
    <w:rsid w:val="004013BB"/>
    <w:rsid w:val="004100A2"/>
    <w:rsid w:val="0041706B"/>
    <w:rsid w:val="00417CDF"/>
    <w:rsid w:val="00434625"/>
    <w:rsid w:val="004370FB"/>
    <w:rsid w:val="00455F7D"/>
    <w:rsid w:val="00460093"/>
    <w:rsid w:val="00462F44"/>
    <w:rsid w:val="004732F9"/>
    <w:rsid w:val="0048177A"/>
    <w:rsid w:val="004957C8"/>
    <w:rsid w:val="00496400"/>
    <w:rsid w:val="004C4C55"/>
    <w:rsid w:val="004C58D2"/>
    <w:rsid w:val="004D5ABC"/>
    <w:rsid w:val="004D5C47"/>
    <w:rsid w:val="004D6ED1"/>
    <w:rsid w:val="004E04DD"/>
    <w:rsid w:val="004E484B"/>
    <w:rsid w:val="004E4E40"/>
    <w:rsid w:val="004E60A9"/>
    <w:rsid w:val="004E7CD1"/>
    <w:rsid w:val="005009EC"/>
    <w:rsid w:val="00500FFA"/>
    <w:rsid w:val="00502909"/>
    <w:rsid w:val="00502F7A"/>
    <w:rsid w:val="0051007A"/>
    <w:rsid w:val="00517B38"/>
    <w:rsid w:val="00525247"/>
    <w:rsid w:val="005276B8"/>
    <w:rsid w:val="00540FD0"/>
    <w:rsid w:val="00542CE6"/>
    <w:rsid w:val="0055373B"/>
    <w:rsid w:val="00561711"/>
    <w:rsid w:val="005752E1"/>
    <w:rsid w:val="00577326"/>
    <w:rsid w:val="00591BA7"/>
    <w:rsid w:val="005A74B0"/>
    <w:rsid w:val="005B0221"/>
    <w:rsid w:val="005B5FC6"/>
    <w:rsid w:val="005C10B3"/>
    <w:rsid w:val="005C2B5D"/>
    <w:rsid w:val="005C2E0B"/>
    <w:rsid w:val="005C6DD3"/>
    <w:rsid w:val="005E2DCB"/>
    <w:rsid w:val="005E3244"/>
    <w:rsid w:val="005E47B8"/>
    <w:rsid w:val="005E50DD"/>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C5F7B"/>
    <w:rsid w:val="006D0CD8"/>
    <w:rsid w:val="006D2B7F"/>
    <w:rsid w:val="006E379E"/>
    <w:rsid w:val="00700209"/>
    <w:rsid w:val="00701846"/>
    <w:rsid w:val="00711B35"/>
    <w:rsid w:val="007171F5"/>
    <w:rsid w:val="00725474"/>
    <w:rsid w:val="00727514"/>
    <w:rsid w:val="007365B7"/>
    <w:rsid w:val="00741744"/>
    <w:rsid w:val="007445BD"/>
    <w:rsid w:val="0074637B"/>
    <w:rsid w:val="00757F9C"/>
    <w:rsid w:val="007604F0"/>
    <w:rsid w:val="00767CAE"/>
    <w:rsid w:val="00772AE8"/>
    <w:rsid w:val="007862D6"/>
    <w:rsid w:val="007868DE"/>
    <w:rsid w:val="007A5925"/>
    <w:rsid w:val="007A6D2E"/>
    <w:rsid w:val="007B1E7F"/>
    <w:rsid w:val="007B2B9D"/>
    <w:rsid w:val="007B4A81"/>
    <w:rsid w:val="007C4175"/>
    <w:rsid w:val="007C5DA9"/>
    <w:rsid w:val="007C6852"/>
    <w:rsid w:val="007E7683"/>
    <w:rsid w:val="007F1D7E"/>
    <w:rsid w:val="007F762A"/>
    <w:rsid w:val="00814F53"/>
    <w:rsid w:val="008258FB"/>
    <w:rsid w:val="00826DB9"/>
    <w:rsid w:val="008379E0"/>
    <w:rsid w:val="00842C37"/>
    <w:rsid w:val="00845842"/>
    <w:rsid w:val="008468A7"/>
    <w:rsid w:val="00870030"/>
    <w:rsid w:val="00877544"/>
    <w:rsid w:val="0088080F"/>
    <w:rsid w:val="00881705"/>
    <w:rsid w:val="00882E60"/>
    <w:rsid w:val="008920A9"/>
    <w:rsid w:val="00895CEC"/>
    <w:rsid w:val="008B361A"/>
    <w:rsid w:val="008B3838"/>
    <w:rsid w:val="008C67D5"/>
    <w:rsid w:val="008C7913"/>
    <w:rsid w:val="008D0B62"/>
    <w:rsid w:val="008D3431"/>
    <w:rsid w:val="008E5525"/>
    <w:rsid w:val="008F0F97"/>
    <w:rsid w:val="008F2F61"/>
    <w:rsid w:val="008F6E48"/>
    <w:rsid w:val="008F7E7C"/>
    <w:rsid w:val="009043E4"/>
    <w:rsid w:val="00906125"/>
    <w:rsid w:val="00917B4C"/>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54D76"/>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07114"/>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80B96"/>
    <w:rsid w:val="00B94F14"/>
    <w:rsid w:val="00BC12BA"/>
    <w:rsid w:val="00BD3B90"/>
    <w:rsid w:val="00BD48C1"/>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82B32"/>
    <w:rsid w:val="00CB0047"/>
    <w:rsid w:val="00CB0609"/>
    <w:rsid w:val="00CB793E"/>
    <w:rsid w:val="00CC2707"/>
    <w:rsid w:val="00CD020C"/>
    <w:rsid w:val="00CD5B93"/>
    <w:rsid w:val="00CE4CA1"/>
    <w:rsid w:val="00CF0E2B"/>
    <w:rsid w:val="00CF5F09"/>
    <w:rsid w:val="00D01761"/>
    <w:rsid w:val="00D01809"/>
    <w:rsid w:val="00D02AE3"/>
    <w:rsid w:val="00D03E25"/>
    <w:rsid w:val="00D1675E"/>
    <w:rsid w:val="00D44147"/>
    <w:rsid w:val="00D4421A"/>
    <w:rsid w:val="00D51D42"/>
    <w:rsid w:val="00D51E76"/>
    <w:rsid w:val="00D52780"/>
    <w:rsid w:val="00D56891"/>
    <w:rsid w:val="00D57BE8"/>
    <w:rsid w:val="00D6281E"/>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195B"/>
    <w:rsid w:val="00DE4984"/>
    <w:rsid w:val="00DF4C81"/>
    <w:rsid w:val="00E1222D"/>
    <w:rsid w:val="00E12D48"/>
    <w:rsid w:val="00E14A83"/>
    <w:rsid w:val="00E16EC9"/>
    <w:rsid w:val="00E23DCB"/>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3F50"/>
    <w:rsid w:val="00F3712C"/>
    <w:rsid w:val="00F40BAA"/>
    <w:rsid w:val="00F47F0A"/>
    <w:rsid w:val="00F571DD"/>
    <w:rsid w:val="00F61C18"/>
    <w:rsid w:val="00F64FA1"/>
    <w:rsid w:val="00F651E9"/>
    <w:rsid w:val="00F67427"/>
    <w:rsid w:val="00F80F95"/>
    <w:rsid w:val="00F81E90"/>
    <w:rsid w:val="00F84821"/>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 w:type="table" w:styleId="TableGrid">
    <w:name w:val="Table Grid"/>
    <w:basedOn w:val="TableNormal"/>
    <w:uiPriority w:val="59"/>
    <w:rsid w:val="0051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 w:type="table" w:styleId="TableGrid">
    <w:name w:val="Table Grid"/>
    <w:basedOn w:val="TableNormal"/>
    <w:uiPriority w:val="59"/>
    <w:rsid w:val="0051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07">
      <w:bodyDiv w:val="1"/>
      <w:marLeft w:val="0"/>
      <w:marRight w:val="0"/>
      <w:marTop w:val="0"/>
      <w:marBottom w:val="0"/>
      <w:divBdr>
        <w:top w:val="none" w:sz="0" w:space="0" w:color="auto"/>
        <w:left w:val="none" w:sz="0" w:space="0" w:color="auto"/>
        <w:bottom w:val="none" w:sz="0" w:space="0" w:color="auto"/>
        <w:right w:val="none" w:sz="0" w:space="0" w:color="auto"/>
      </w:divBdr>
    </w:div>
    <w:div w:id="246617439">
      <w:bodyDiv w:val="1"/>
      <w:marLeft w:val="0"/>
      <w:marRight w:val="0"/>
      <w:marTop w:val="0"/>
      <w:marBottom w:val="0"/>
      <w:divBdr>
        <w:top w:val="none" w:sz="0" w:space="0" w:color="auto"/>
        <w:left w:val="none" w:sz="0" w:space="0" w:color="auto"/>
        <w:bottom w:val="none" w:sz="0" w:space="0" w:color="auto"/>
        <w:right w:val="none" w:sz="0" w:space="0" w:color="auto"/>
      </w:divBdr>
    </w:div>
    <w:div w:id="389887366">
      <w:bodyDiv w:val="1"/>
      <w:marLeft w:val="0"/>
      <w:marRight w:val="0"/>
      <w:marTop w:val="0"/>
      <w:marBottom w:val="0"/>
      <w:divBdr>
        <w:top w:val="none" w:sz="0" w:space="0" w:color="auto"/>
        <w:left w:val="none" w:sz="0" w:space="0" w:color="auto"/>
        <w:bottom w:val="none" w:sz="0" w:space="0" w:color="auto"/>
        <w:right w:val="none" w:sz="0" w:space="0" w:color="auto"/>
      </w:divBdr>
    </w:div>
    <w:div w:id="413013285">
      <w:bodyDiv w:val="1"/>
      <w:marLeft w:val="0"/>
      <w:marRight w:val="0"/>
      <w:marTop w:val="0"/>
      <w:marBottom w:val="0"/>
      <w:divBdr>
        <w:top w:val="none" w:sz="0" w:space="0" w:color="auto"/>
        <w:left w:val="none" w:sz="0" w:space="0" w:color="auto"/>
        <w:bottom w:val="none" w:sz="0" w:space="0" w:color="auto"/>
        <w:right w:val="none" w:sz="0" w:space="0" w:color="auto"/>
      </w:divBdr>
    </w:div>
    <w:div w:id="485515137">
      <w:bodyDiv w:val="1"/>
      <w:marLeft w:val="0"/>
      <w:marRight w:val="0"/>
      <w:marTop w:val="0"/>
      <w:marBottom w:val="0"/>
      <w:divBdr>
        <w:top w:val="none" w:sz="0" w:space="0" w:color="auto"/>
        <w:left w:val="none" w:sz="0" w:space="0" w:color="auto"/>
        <w:bottom w:val="none" w:sz="0" w:space="0" w:color="auto"/>
        <w:right w:val="none" w:sz="0" w:space="0" w:color="auto"/>
      </w:divBdr>
    </w:div>
    <w:div w:id="927737460">
      <w:bodyDiv w:val="1"/>
      <w:marLeft w:val="0"/>
      <w:marRight w:val="0"/>
      <w:marTop w:val="0"/>
      <w:marBottom w:val="0"/>
      <w:divBdr>
        <w:top w:val="none" w:sz="0" w:space="0" w:color="auto"/>
        <w:left w:val="none" w:sz="0" w:space="0" w:color="auto"/>
        <w:bottom w:val="none" w:sz="0" w:space="0" w:color="auto"/>
        <w:right w:val="none" w:sz="0" w:space="0" w:color="auto"/>
      </w:divBdr>
    </w:div>
    <w:div w:id="990333410">
      <w:bodyDiv w:val="1"/>
      <w:marLeft w:val="0"/>
      <w:marRight w:val="0"/>
      <w:marTop w:val="0"/>
      <w:marBottom w:val="0"/>
      <w:divBdr>
        <w:top w:val="none" w:sz="0" w:space="0" w:color="auto"/>
        <w:left w:val="none" w:sz="0" w:space="0" w:color="auto"/>
        <w:bottom w:val="none" w:sz="0" w:space="0" w:color="auto"/>
        <w:right w:val="none" w:sz="0" w:space="0" w:color="auto"/>
      </w:divBdr>
    </w:div>
    <w:div w:id="1876384639">
      <w:bodyDiv w:val="1"/>
      <w:marLeft w:val="0"/>
      <w:marRight w:val="0"/>
      <w:marTop w:val="0"/>
      <w:marBottom w:val="0"/>
      <w:divBdr>
        <w:top w:val="none" w:sz="0" w:space="0" w:color="auto"/>
        <w:left w:val="none" w:sz="0" w:space="0" w:color="auto"/>
        <w:bottom w:val="none" w:sz="0" w:space="0" w:color="auto"/>
        <w:right w:val="none" w:sz="0" w:space="0" w:color="auto"/>
      </w:divBdr>
      <w:divsChild>
        <w:div w:id="607126945">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2017-06-27T07:48:00Z</cp:lastPrinted>
  <dcterms:created xsi:type="dcterms:W3CDTF">2017-09-07T07:10:00Z</dcterms:created>
  <dcterms:modified xsi:type="dcterms:W3CDTF">2017-09-07T09:30:00Z</dcterms:modified>
</cp:coreProperties>
</file>