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bookmarkStart w:id="0" w:name="_GoBack"/>
      <w:bookmarkEnd w:id="0"/>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47550">
        <w:rPr>
          <w:b/>
          <w:bCs/>
          <w:sz w:val="24"/>
          <w:u w:val="single"/>
        </w:rPr>
        <w:t>8</w:t>
      </w:r>
      <w:r w:rsidR="00B7448A">
        <w:rPr>
          <w:b/>
          <w:bCs/>
          <w:sz w:val="24"/>
          <w:u w:val="single"/>
        </w:rPr>
        <w:t>9</w:t>
      </w:r>
      <w:r w:rsidR="001C1591">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D6845">
        <w:rPr>
          <w:b/>
          <w:bCs/>
          <w:sz w:val="24"/>
          <w:u w:val="single"/>
        </w:rPr>
        <w:t xml:space="preserve">20 AUGUST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4D6845">
        <w:rPr>
          <w:b/>
          <w:bCs/>
          <w:sz w:val="24"/>
          <w:u w:val="single"/>
        </w:rPr>
        <w:t>7</w:t>
      </w:r>
      <w:r w:rsidRPr="00294557">
        <w:rPr>
          <w:b/>
          <w:bCs/>
          <w:sz w:val="24"/>
          <w:u w:val="single"/>
        </w:rPr>
        <w:t>)</w:t>
      </w:r>
    </w:p>
    <w:p w:rsidR="001C1591" w:rsidRPr="001C1591" w:rsidRDefault="001C1591" w:rsidP="001C1591">
      <w:pPr>
        <w:spacing w:before="100" w:beforeAutospacing="1" w:after="100" w:afterAutospacing="1"/>
        <w:ind w:left="720" w:hanging="720"/>
        <w:jc w:val="both"/>
        <w:outlineLvl w:val="0"/>
        <w:rPr>
          <w:sz w:val="24"/>
          <w:u w:val="single"/>
        </w:rPr>
      </w:pPr>
      <w:r w:rsidRPr="001C1591">
        <w:rPr>
          <w:b/>
          <w:sz w:val="24"/>
          <w:u w:val="single"/>
        </w:rPr>
        <w:t xml:space="preserve">Ms S </w:t>
      </w:r>
      <w:proofErr w:type="spellStart"/>
      <w:r w:rsidRPr="001C1591">
        <w:rPr>
          <w:b/>
          <w:sz w:val="24"/>
          <w:u w:val="single"/>
        </w:rPr>
        <w:t>Gwarube</w:t>
      </w:r>
      <w:proofErr w:type="spellEnd"/>
      <w:r w:rsidRPr="001C1591">
        <w:rPr>
          <w:b/>
          <w:sz w:val="24"/>
          <w:u w:val="single"/>
        </w:rPr>
        <w:t xml:space="preserve"> (DA) to ask the Minister of Health</w:t>
      </w:r>
      <w:r w:rsidR="00FB576C" w:rsidRPr="001C1591">
        <w:rPr>
          <w:b/>
          <w:sz w:val="24"/>
          <w:u w:val="single"/>
        </w:rPr>
        <w:fldChar w:fldCharType="begin"/>
      </w:r>
      <w:r w:rsidRPr="001C1591">
        <w:rPr>
          <w:u w:val="single"/>
        </w:rPr>
        <w:instrText xml:space="preserve"> XE "</w:instrText>
      </w:r>
      <w:r w:rsidRPr="001C1591">
        <w:rPr>
          <w:rFonts w:eastAsia="Calibri"/>
          <w:b/>
          <w:sz w:val="24"/>
          <w:u w:val="single"/>
        </w:rPr>
        <w:instrText>Health</w:instrText>
      </w:r>
      <w:r w:rsidRPr="001C1591">
        <w:rPr>
          <w:u w:val="single"/>
        </w:rPr>
        <w:instrText xml:space="preserve">" </w:instrText>
      </w:r>
      <w:r w:rsidR="00FB576C" w:rsidRPr="001C1591">
        <w:rPr>
          <w:b/>
          <w:sz w:val="24"/>
          <w:u w:val="single"/>
        </w:rPr>
        <w:fldChar w:fldCharType="end"/>
      </w:r>
      <w:r w:rsidRPr="001C1591">
        <w:rPr>
          <w:b/>
          <w:sz w:val="24"/>
          <w:u w:val="single"/>
        </w:rPr>
        <w:t>:</w:t>
      </w:r>
      <w:r w:rsidRPr="001C1591">
        <w:rPr>
          <w:sz w:val="24"/>
          <w:u w:val="single"/>
        </w:rPr>
        <w:t xml:space="preserve"> </w:t>
      </w:r>
    </w:p>
    <w:p w:rsidR="001C1591" w:rsidRPr="001C1591" w:rsidRDefault="001C1591" w:rsidP="001C1591">
      <w:pPr>
        <w:spacing w:before="100" w:beforeAutospacing="1" w:after="100" w:afterAutospacing="1"/>
        <w:ind w:left="709" w:hanging="720"/>
        <w:jc w:val="both"/>
        <w:outlineLvl w:val="0"/>
        <w:rPr>
          <w:sz w:val="24"/>
        </w:rPr>
      </w:pPr>
      <w:r w:rsidRPr="001C1591">
        <w:rPr>
          <w:sz w:val="24"/>
        </w:rPr>
        <w:t>(1)</w:t>
      </w:r>
      <w:r w:rsidRPr="001C1591">
        <w:rPr>
          <w:sz w:val="24"/>
        </w:rPr>
        <w:tab/>
        <w:t xml:space="preserve">What are the reasons that two certain health professionals (names furnished) are not yet disciplined by the SA Nursing Council and the Health Professionals Council of South Africa for the Life </w:t>
      </w:r>
      <w:proofErr w:type="spellStart"/>
      <w:r w:rsidRPr="001C1591">
        <w:rPr>
          <w:sz w:val="24"/>
        </w:rPr>
        <w:t>Esidimeni</w:t>
      </w:r>
      <w:proofErr w:type="spellEnd"/>
      <w:r w:rsidRPr="001C1591">
        <w:rPr>
          <w:sz w:val="24"/>
        </w:rPr>
        <w:t xml:space="preserve"> deaths;</w:t>
      </w:r>
    </w:p>
    <w:p w:rsidR="004434B5" w:rsidRPr="000B099C" w:rsidRDefault="001C1591" w:rsidP="001C1591">
      <w:pPr>
        <w:spacing w:before="100" w:beforeAutospacing="1" w:after="100" w:afterAutospacing="1"/>
        <w:ind w:left="709" w:hanging="709"/>
        <w:jc w:val="both"/>
        <w:outlineLvl w:val="0"/>
        <w:rPr>
          <w:sz w:val="24"/>
        </w:rPr>
      </w:pPr>
      <w:r w:rsidRPr="001C1591">
        <w:rPr>
          <w:sz w:val="24"/>
        </w:rPr>
        <w:t>(2)</w:t>
      </w:r>
      <w:r w:rsidRPr="001C1591">
        <w:rPr>
          <w:sz w:val="24"/>
        </w:rPr>
        <w:tab/>
        <w:t>whether investigations regarding the disciplinary cases of the two health officials are still ongoing; if not, what is the position in this regard; if so, (a) what are the reasons for the delays, (b) by what date will the outcomes of the disciplinary proceedings be announced and (c) who is responsible for the disciplinary proceedings?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3936A3">
        <w:rPr>
          <w:color w:val="000000"/>
        </w:rPr>
        <w:t>1</w:t>
      </w:r>
      <w:r w:rsidR="001C1591">
        <w:rPr>
          <w:color w:val="000000"/>
        </w:rPr>
        <w:t>22</w:t>
      </w:r>
      <w:r w:rsidR="00187EBF">
        <w:rPr>
          <w:color w:val="000000"/>
        </w:rPr>
        <w:t>E</w:t>
      </w:r>
      <w:r w:rsidR="00E238C2">
        <w:rPr>
          <w:color w:val="000000"/>
          <w:szCs w:val="20"/>
        </w:rPr>
        <w:t xml:space="preserve"> </w:t>
      </w:r>
    </w:p>
    <w:p w:rsidR="00690E18" w:rsidRPr="00690E18" w:rsidRDefault="00690E18" w:rsidP="00690E18">
      <w:pPr>
        <w:rPr>
          <w:b/>
          <w:bCs/>
          <w:sz w:val="24"/>
          <w:u w:val="single"/>
          <w:lang w:val="en-US"/>
        </w:rPr>
      </w:pPr>
      <w:r w:rsidRPr="00690E18">
        <w:rPr>
          <w:b/>
          <w:bCs/>
          <w:sz w:val="24"/>
          <w:u w:val="single"/>
          <w:lang w:val="en-US"/>
        </w:rPr>
        <w:t>REPLY:</w:t>
      </w:r>
    </w:p>
    <w:p w:rsidR="00690E18" w:rsidRPr="00690E18" w:rsidRDefault="00690E18" w:rsidP="00690E18">
      <w:pPr>
        <w:pStyle w:val="ListParagraph"/>
        <w:spacing w:line="259" w:lineRule="auto"/>
        <w:ind w:left="0"/>
        <w:jc w:val="both"/>
        <w:rPr>
          <w:b/>
          <w:sz w:val="24"/>
        </w:rPr>
      </w:pPr>
    </w:p>
    <w:p w:rsidR="00690E18" w:rsidRPr="00690E18" w:rsidRDefault="00690E18" w:rsidP="00690E18">
      <w:pPr>
        <w:pStyle w:val="ListParagraph"/>
        <w:spacing w:line="259" w:lineRule="auto"/>
        <w:ind w:left="0"/>
        <w:jc w:val="both"/>
        <w:rPr>
          <w:b/>
          <w:sz w:val="24"/>
        </w:rPr>
      </w:pPr>
      <w:r w:rsidRPr="00690E18">
        <w:rPr>
          <w:b/>
          <w:sz w:val="24"/>
        </w:rPr>
        <w:t>South African Nursing Council (SANC)</w:t>
      </w:r>
    </w:p>
    <w:p w:rsidR="00690E18" w:rsidRPr="00690E18" w:rsidRDefault="00690E18" w:rsidP="00690E18">
      <w:pPr>
        <w:pStyle w:val="ListParagraph"/>
        <w:spacing w:line="259" w:lineRule="auto"/>
        <w:ind w:left="0"/>
        <w:jc w:val="both"/>
        <w:rPr>
          <w:sz w:val="24"/>
        </w:rPr>
      </w:pPr>
    </w:p>
    <w:p w:rsidR="00690E18" w:rsidRPr="00690E18" w:rsidRDefault="00690E18" w:rsidP="00690E18">
      <w:pPr>
        <w:pStyle w:val="ListParagraph"/>
        <w:numPr>
          <w:ilvl w:val="0"/>
          <w:numId w:val="4"/>
        </w:numPr>
        <w:spacing w:line="259" w:lineRule="auto"/>
        <w:ind w:hanging="720"/>
        <w:jc w:val="both"/>
        <w:rPr>
          <w:bCs/>
          <w:color w:val="000000" w:themeColor="text1"/>
          <w:sz w:val="24"/>
        </w:rPr>
      </w:pPr>
      <w:r w:rsidRPr="00690E18">
        <w:rPr>
          <w:sz w:val="24"/>
        </w:rPr>
        <w:t xml:space="preserve">The SANC is looking into allegations made against Dr </w:t>
      </w:r>
      <w:proofErr w:type="spellStart"/>
      <w:r w:rsidRPr="00690E18">
        <w:rPr>
          <w:sz w:val="24"/>
        </w:rPr>
        <w:t>Manamela</w:t>
      </w:r>
      <w:proofErr w:type="spellEnd"/>
      <w:r w:rsidRPr="00690E18">
        <w:rPr>
          <w:sz w:val="24"/>
        </w:rPr>
        <w:t xml:space="preserve"> as nurse practitioner, registered in terms of the Nursing Act, 2005 (Act No. 33 of 2005). </w:t>
      </w:r>
    </w:p>
    <w:p w:rsidR="00690E18" w:rsidRPr="00690E18" w:rsidRDefault="00690E18" w:rsidP="00690E18">
      <w:pPr>
        <w:pStyle w:val="ListParagraph"/>
        <w:jc w:val="both"/>
        <w:rPr>
          <w:sz w:val="24"/>
        </w:rPr>
      </w:pPr>
    </w:p>
    <w:p w:rsidR="00690E18" w:rsidRPr="00690E18" w:rsidRDefault="00690E18" w:rsidP="00690E18">
      <w:pPr>
        <w:pStyle w:val="ListParagraph"/>
        <w:jc w:val="both"/>
        <w:rPr>
          <w:sz w:val="24"/>
        </w:rPr>
      </w:pPr>
      <w:r w:rsidRPr="00690E18">
        <w:rPr>
          <w:sz w:val="24"/>
        </w:rPr>
        <w:t xml:space="preserve">The process to discipline nurse practitioners is prescribed in regulations, and the SANC follows the legislated processes to investigate any allegations of unprofessional conduct against nurse practitioners so that where there is evidence of unprofessional conduct, appropriate action is taken. </w:t>
      </w:r>
    </w:p>
    <w:p w:rsidR="00690E18" w:rsidRPr="00690E18" w:rsidRDefault="00690E18" w:rsidP="00690E18">
      <w:pPr>
        <w:pStyle w:val="ListParagraph"/>
        <w:jc w:val="both"/>
        <w:rPr>
          <w:sz w:val="24"/>
        </w:rPr>
      </w:pPr>
    </w:p>
    <w:p w:rsidR="00690E18" w:rsidRPr="00690E18" w:rsidRDefault="00690E18" w:rsidP="00690E18">
      <w:pPr>
        <w:pStyle w:val="ListParagraph"/>
        <w:jc w:val="both"/>
        <w:rPr>
          <w:sz w:val="24"/>
        </w:rPr>
      </w:pPr>
      <w:r w:rsidRPr="00690E18">
        <w:rPr>
          <w:sz w:val="24"/>
        </w:rPr>
        <w:t>The time it takes to finalise cases is dependent on the complexity of the matter as well as the number of and co-operation from role players involved in the matter and the timeous submission of the required information to SANC</w:t>
      </w:r>
    </w:p>
    <w:p w:rsidR="00690E18" w:rsidRPr="00690E18" w:rsidRDefault="00690E18" w:rsidP="00690E18">
      <w:pPr>
        <w:pStyle w:val="ListParagraph"/>
        <w:ind w:hanging="720"/>
        <w:jc w:val="both"/>
        <w:rPr>
          <w:sz w:val="24"/>
        </w:rPr>
      </w:pPr>
    </w:p>
    <w:p w:rsidR="00690E18" w:rsidRPr="00690E18" w:rsidRDefault="00690E18" w:rsidP="00690E18">
      <w:pPr>
        <w:pStyle w:val="ListParagraph"/>
        <w:numPr>
          <w:ilvl w:val="0"/>
          <w:numId w:val="4"/>
        </w:numPr>
        <w:ind w:hanging="720"/>
        <w:jc w:val="both"/>
        <w:rPr>
          <w:sz w:val="24"/>
        </w:rPr>
      </w:pPr>
      <w:r w:rsidRPr="00690E18">
        <w:rPr>
          <w:sz w:val="24"/>
        </w:rPr>
        <w:t>(a)</w:t>
      </w:r>
      <w:r w:rsidRPr="00690E18">
        <w:rPr>
          <w:sz w:val="24"/>
        </w:rPr>
        <w:tab/>
        <w:t xml:space="preserve">The disciplinary cases of the health official </w:t>
      </w:r>
      <w:proofErr w:type="gramStart"/>
      <w:r w:rsidRPr="00690E18">
        <w:rPr>
          <w:sz w:val="24"/>
        </w:rPr>
        <w:t>is</w:t>
      </w:r>
      <w:proofErr w:type="gramEnd"/>
      <w:r w:rsidRPr="00690E18">
        <w:rPr>
          <w:sz w:val="24"/>
        </w:rPr>
        <w:t xml:space="preserve"> still ongoing.</w:t>
      </w:r>
    </w:p>
    <w:p w:rsidR="00690E18" w:rsidRPr="00690E18" w:rsidRDefault="00690E18" w:rsidP="00690E18">
      <w:pPr>
        <w:ind w:left="1418"/>
        <w:jc w:val="both"/>
        <w:rPr>
          <w:rFonts w:eastAsia="Calibri"/>
          <w:sz w:val="24"/>
        </w:rPr>
      </w:pPr>
    </w:p>
    <w:p w:rsidR="00690E18" w:rsidRDefault="00690E18" w:rsidP="00690E18">
      <w:pPr>
        <w:ind w:left="1418"/>
        <w:jc w:val="both"/>
        <w:rPr>
          <w:rFonts w:eastAsia="Calibri"/>
          <w:sz w:val="24"/>
        </w:rPr>
      </w:pPr>
      <w:r w:rsidRPr="00690E18">
        <w:rPr>
          <w:rFonts w:eastAsia="Calibri"/>
          <w:sz w:val="24"/>
        </w:rPr>
        <w:t>There was no delay on the side of SANC. Several correspondences to Gauteng Province were issued as soon as the matter was brought to the attention of SANC to request for further information to enable the relevant committee of Council to conduct the investigation accordingly.</w:t>
      </w:r>
    </w:p>
    <w:p w:rsidR="00690E18" w:rsidRPr="00690E18" w:rsidRDefault="00690E18" w:rsidP="00690E18">
      <w:pPr>
        <w:ind w:left="1418"/>
        <w:jc w:val="both"/>
        <w:rPr>
          <w:rFonts w:eastAsia="Calibri"/>
          <w:sz w:val="24"/>
        </w:rPr>
      </w:pPr>
    </w:p>
    <w:p w:rsidR="00690E18" w:rsidRPr="00690E18" w:rsidRDefault="00690E18" w:rsidP="00690E18">
      <w:pPr>
        <w:ind w:left="1418"/>
        <w:jc w:val="both"/>
        <w:rPr>
          <w:rFonts w:eastAsia="Calibri"/>
          <w:sz w:val="24"/>
        </w:rPr>
      </w:pPr>
      <w:r w:rsidRPr="00690E18">
        <w:rPr>
          <w:rFonts w:eastAsia="Calibri"/>
          <w:sz w:val="24"/>
        </w:rPr>
        <w:t>There was, however, a delay in the provision of such information despite several follow ups made by the office of the Registrar at SANC.</w:t>
      </w:r>
    </w:p>
    <w:p w:rsidR="00690E18" w:rsidRPr="00690E18" w:rsidRDefault="00690E18" w:rsidP="00690E18">
      <w:pPr>
        <w:ind w:left="1418"/>
        <w:jc w:val="both"/>
        <w:rPr>
          <w:rFonts w:eastAsia="Calibri"/>
          <w:sz w:val="24"/>
        </w:rPr>
      </w:pPr>
    </w:p>
    <w:p w:rsidR="00690E18" w:rsidRPr="00690E18" w:rsidRDefault="00690E18" w:rsidP="00690E18">
      <w:pPr>
        <w:ind w:left="1418" w:hanging="709"/>
        <w:jc w:val="both"/>
        <w:rPr>
          <w:rFonts w:eastAsia="Calibri"/>
          <w:sz w:val="24"/>
        </w:rPr>
      </w:pPr>
      <w:r w:rsidRPr="00690E18">
        <w:rPr>
          <w:rFonts w:eastAsia="Calibri"/>
          <w:sz w:val="24"/>
        </w:rPr>
        <w:t>(b)</w:t>
      </w:r>
      <w:r w:rsidRPr="00690E18">
        <w:rPr>
          <w:rFonts w:eastAsia="Calibri"/>
          <w:sz w:val="24"/>
        </w:rPr>
        <w:tab/>
        <w:t>This is not possible to predict as it is dependent on many external factors and procedural factors for instance but in no way limited to:</w:t>
      </w:r>
    </w:p>
    <w:p w:rsidR="00690E18" w:rsidRPr="00690E18" w:rsidRDefault="00690E18" w:rsidP="00690E18">
      <w:pPr>
        <w:ind w:left="1418" w:hanging="709"/>
        <w:jc w:val="both"/>
        <w:rPr>
          <w:rFonts w:eastAsia="Calibri"/>
          <w:sz w:val="24"/>
        </w:rPr>
      </w:pPr>
    </w:p>
    <w:p w:rsidR="00690E18" w:rsidRPr="00690E18" w:rsidRDefault="00690E18" w:rsidP="00690E18">
      <w:pPr>
        <w:pStyle w:val="ListParagraph"/>
        <w:numPr>
          <w:ilvl w:val="0"/>
          <w:numId w:val="5"/>
        </w:numPr>
        <w:jc w:val="both"/>
        <w:rPr>
          <w:sz w:val="24"/>
        </w:rPr>
      </w:pPr>
      <w:r w:rsidRPr="00690E18">
        <w:rPr>
          <w:sz w:val="24"/>
        </w:rPr>
        <w:t>Availability of evidence;</w:t>
      </w:r>
    </w:p>
    <w:p w:rsidR="00690E18" w:rsidRPr="00690E18" w:rsidRDefault="00690E18" w:rsidP="00690E18">
      <w:pPr>
        <w:pStyle w:val="ListParagraph"/>
        <w:numPr>
          <w:ilvl w:val="0"/>
          <w:numId w:val="5"/>
        </w:numPr>
        <w:jc w:val="both"/>
        <w:rPr>
          <w:sz w:val="24"/>
        </w:rPr>
      </w:pPr>
      <w:r w:rsidRPr="00690E18">
        <w:rPr>
          <w:sz w:val="24"/>
        </w:rPr>
        <w:t>Availability of witnesses;</w:t>
      </w:r>
    </w:p>
    <w:p w:rsidR="00690E18" w:rsidRPr="00690E18" w:rsidRDefault="00690E18" w:rsidP="00690E18">
      <w:pPr>
        <w:pStyle w:val="ListParagraph"/>
        <w:numPr>
          <w:ilvl w:val="0"/>
          <w:numId w:val="5"/>
        </w:numPr>
        <w:jc w:val="both"/>
        <w:rPr>
          <w:sz w:val="24"/>
        </w:rPr>
      </w:pPr>
      <w:r w:rsidRPr="00690E18">
        <w:rPr>
          <w:sz w:val="24"/>
        </w:rPr>
        <w:t>Any legal challenges against or during the process; and</w:t>
      </w:r>
    </w:p>
    <w:p w:rsidR="00690E18" w:rsidRPr="00690E18" w:rsidRDefault="00690E18" w:rsidP="00690E18">
      <w:pPr>
        <w:pStyle w:val="ListParagraph"/>
        <w:numPr>
          <w:ilvl w:val="0"/>
          <w:numId w:val="5"/>
        </w:numPr>
        <w:jc w:val="both"/>
        <w:rPr>
          <w:sz w:val="24"/>
        </w:rPr>
      </w:pPr>
      <w:r w:rsidRPr="00690E18">
        <w:rPr>
          <w:sz w:val="24"/>
        </w:rPr>
        <w:lastRenderedPageBreak/>
        <w:t xml:space="preserve"> Volume of the evidence both written and oral to be considered and or canvased</w:t>
      </w:r>
    </w:p>
    <w:p w:rsidR="00690E18" w:rsidRPr="00690E18" w:rsidRDefault="00690E18" w:rsidP="00690E18">
      <w:pPr>
        <w:ind w:left="1418" w:hanging="709"/>
        <w:jc w:val="both"/>
        <w:rPr>
          <w:rFonts w:eastAsia="Calibri"/>
          <w:sz w:val="24"/>
        </w:rPr>
      </w:pPr>
    </w:p>
    <w:p w:rsidR="00690E18" w:rsidRDefault="00690E18" w:rsidP="00690E18">
      <w:pPr>
        <w:ind w:left="1418" w:hanging="709"/>
        <w:jc w:val="both"/>
        <w:rPr>
          <w:rFonts w:eastAsia="Calibri"/>
          <w:sz w:val="24"/>
        </w:rPr>
      </w:pPr>
      <w:r w:rsidRPr="00690E18">
        <w:rPr>
          <w:rFonts w:eastAsia="Calibri"/>
          <w:sz w:val="24"/>
        </w:rPr>
        <w:t>(c)</w:t>
      </w:r>
      <w:r w:rsidRPr="00690E18">
        <w:rPr>
          <w:rFonts w:eastAsia="Calibri"/>
          <w:sz w:val="24"/>
        </w:rPr>
        <w:tab/>
        <w:t xml:space="preserve">Two committees of Council are responsible for the majority of the process, the Preliminary Investigating Committee, which has finalised the preliminary investigation and the Professional Conduct Committee, to which the matter has been referred, to </w:t>
      </w:r>
      <w:proofErr w:type="gramStart"/>
      <w:r w:rsidRPr="00690E18">
        <w:rPr>
          <w:rFonts w:eastAsia="Calibri"/>
          <w:sz w:val="24"/>
        </w:rPr>
        <w:t>effect</w:t>
      </w:r>
      <w:proofErr w:type="gramEnd"/>
      <w:r w:rsidRPr="00690E18">
        <w:rPr>
          <w:rFonts w:eastAsia="Calibri"/>
          <w:sz w:val="24"/>
        </w:rPr>
        <w:t xml:space="preserve"> a formal hearing.</w:t>
      </w:r>
    </w:p>
    <w:p w:rsidR="00690E18" w:rsidRPr="00690E18" w:rsidRDefault="00690E18" w:rsidP="00690E18">
      <w:pPr>
        <w:ind w:left="1418" w:hanging="709"/>
        <w:jc w:val="both"/>
        <w:rPr>
          <w:rFonts w:eastAsia="Calibri"/>
          <w:sz w:val="24"/>
        </w:rPr>
      </w:pPr>
    </w:p>
    <w:p w:rsidR="00690E18" w:rsidRDefault="00690E18" w:rsidP="00690E18">
      <w:pPr>
        <w:ind w:left="709" w:hanging="709"/>
        <w:jc w:val="both"/>
        <w:rPr>
          <w:rFonts w:eastAsia="Calibri"/>
          <w:b/>
          <w:sz w:val="24"/>
        </w:rPr>
      </w:pPr>
      <w:r w:rsidRPr="00690E18">
        <w:rPr>
          <w:rFonts w:eastAsia="Calibri"/>
          <w:b/>
          <w:sz w:val="24"/>
        </w:rPr>
        <w:t>The Health Professions Council of South Africa (HPCSA)</w:t>
      </w:r>
    </w:p>
    <w:p w:rsidR="00690E18" w:rsidRPr="00690E18" w:rsidRDefault="00690E18" w:rsidP="00690E18">
      <w:pPr>
        <w:ind w:left="709" w:hanging="709"/>
        <w:jc w:val="both"/>
        <w:rPr>
          <w:rFonts w:eastAsia="Calibri"/>
          <w:b/>
          <w:sz w:val="24"/>
        </w:rPr>
      </w:pPr>
    </w:p>
    <w:p w:rsidR="00690E18" w:rsidRPr="00690E18" w:rsidRDefault="00690E18" w:rsidP="00690E18">
      <w:pPr>
        <w:pStyle w:val="ListParagraph"/>
        <w:numPr>
          <w:ilvl w:val="0"/>
          <w:numId w:val="6"/>
        </w:numPr>
        <w:ind w:hanging="720"/>
        <w:jc w:val="both"/>
        <w:rPr>
          <w:sz w:val="24"/>
        </w:rPr>
      </w:pPr>
      <w:r w:rsidRPr="00690E18">
        <w:rPr>
          <w:sz w:val="24"/>
        </w:rPr>
        <w:t xml:space="preserve">The HPCSA has taken disciplinary steps against Dr TE </w:t>
      </w:r>
      <w:proofErr w:type="spellStart"/>
      <w:r w:rsidRPr="00690E18">
        <w:rPr>
          <w:sz w:val="24"/>
        </w:rPr>
        <w:t>Selebano</w:t>
      </w:r>
      <w:proofErr w:type="spellEnd"/>
      <w:r w:rsidRPr="00690E18">
        <w:rPr>
          <w:sz w:val="24"/>
        </w:rPr>
        <w:t xml:space="preserve"> following the report of the Health Ombudsman. </w:t>
      </w:r>
    </w:p>
    <w:p w:rsidR="00690E18" w:rsidRPr="00690E18" w:rsidRDefault="00690E18" w:rsidP="00690E18">
      <w:pPr>
        <w:pStyle w:val="ListParagraph"/>
        <w:jc w:val="both"/>
        <w:rPr>
          <w:sz w:val="24"/>
        </w:rPr>
      </w:pPr>
    </w:p>
    <w:p w:rsidR="00690E18" w:rsidRPr="00690E18" w:rsidRDefault="00690E18" w:rsidP="00690E18">
      <w:pPr>
        <w:pStyle w:val="ListParagraph"/>
        <w:jc w:val="both"/>
        <w:rPr>
          <w:sz w:val="24"/>
        </w:rPr>
      </w:pPr>
      <w:r w:rsidRPr="00690E18">
        <w:rPr>
          <w:sz w:val="24"/>
        </w:rPr>
        <w:t xml:space="preserve">The investigation was conducted and on the 11&amp;12 October 2018 the matter was placed before the Fourth Preliminary Committee of Inquiry of the Medical and Dental Professional Board (“the Committee”). </w:t>
      </w:r>
    </w:p>
    <w:p w:rsidR="00690E18" w:rsidRPr="00690E18" w:rsidRDefault="00690E18" w:rsidP="00690E18">
      <w:pPr>
        <w:pStyle w:val="ListParagraph"/>
        <w:jc w:val="both"/>
        <w:rPr>
          <w:sz w:val="24"/>
        </w:rPr>
      </w:pPr>
    </w:p>
    <w:p w:rsidR="00690E18" w:rsidRPr="00690E18" w:rsidRDefault="00690E18" w:rsidP="00690E18">
      <w:pPr>
        <w:pStyle w:val="ListParagraph"/>
        <w:jc w:val="both"/>
        <w:rPr>
          <w:sz w:val="24"/>
        </w:rPr>
      </w:pPr>
      <w:r w:rsidRPr="00690E18">
        <w:rPr>
          <w:sz w:val="24"/>
        </w:rPr>
        <w:t xml:space="preserve">After deliberations based on the available evidence the committee determined that there are grounds for a professional conduct inquiry into the conduct of Dr TE </w:t>
      </w:r>
      <w:proofErr w:type="spellStart"/>
      <w:r w:rsidRPr="00690E18">
        <w:rPr>
          <w:sz w:val="24"/>
        </w:rPr>
        <w:t>Selebano</w:t>
      </w:r>
      <w:proofErr w:type="spellEnd"/>
      <w:r w:rsidRPr="00690E18">
        <w:rPr>
          <w:sz w:val="24"/>
        </w:rPr>
        <w:t xml:space="preserve"> and directed that an inquiry into matter be held.</w:t>
      </w:r>
    </w:p>
    <w:p w:rsidR="00690E18" w:rsidRPr="00690E18" w:rsidRDefault="00690E18" w:rsidP="00690E18">
      <w:pPr>
        <w:pStyle w:val="ListParagraph"/>
        <w:jc w:val="both"/>
        <w:rPr>
          <w:sz w:val="24"/>
        </w:rPr>
      </w:pPr>
    </w:p>
    <w:p w:rsidR="00690E18" w:rsidRPr="00690E18" w:rsidRDefault="00690E18" w:rsidP="00690E18">
      <w:pPr>
        <w:pStyle w:val="ListParagraph"/>
        <w:numPr>
          <w:ilvl w:val="0"/>
          <w:numId w:val="6"/>
        </w:numPr>
        <w:ind w:hanging="720"/>
        <w:jc w:val="both"/>
        <w:rPr>
          <w:sz w:val="24"/>
        </w:rPr>
      </w:pPr>
      <w:r w:rsidRPr="00690E18">
        <w:rPr>
          <w:sz w:val="24"/>
        </w:rPr>
        <w:t>(a)</w:t>
      </w:r>
      <w:r w:rsidRPr="00690E18">
        <w:rPr>
          <w:sz w:val="24"/>
        </w:rPr>
        <w:tab/>
        <w:t>The disciplinary cases of the health official is still ongoing</w:t>
      </w:r>
    </w:p>
    <w:p w:rsidR="00690E18" w:rsidRPr="00690E18" w:rsidRDefault="00690E18" w:rsidP="00690E18">
      <w:pPr>
        <w:ind w:left="1418" w:hanging="709"/>
        <w:jc w:val="both"/>
        <w:rPr>
          <w:rFonts w:eastAsia="Calibri"/>
          <w:sz w:val="24"/>
        </w:rPr>
      </w:pPr>
    </w:p>
    <w:p w:rsidR="00690E18" w:rsidRDefault="00690E18" w:rsidP="00690E18">
      <w:pPr>
        <w:ind w:left="1418" w:hanging="709"/>
        <w:jc w:val="both"/>
        <w:rPr>
          <w:rFonts w:eastAsia="Calibri"/>
          <w:sz w:val="24"/>
        </w:rPr>
      </w:pPr>
      <w:r w:rsidRPr="00690E18">
        <w:rPr>
          <w:rFonts w:eastAsia="Calibri"/>
          <w:sz w:val="24"/>
        </w:rPr>
        <w:tab/>
        <w:t xml:space="preserve">The matter had been set down for hearing on several occasions and had been postponed for a variety of reason including the obtainment of the transcripts from Judge </w:t>
      </w:r>
      <w:proofErr w:type="spellStart"/>
      <w:r w:rsidRPr="00690E18">
        <w:rPr>
          <w:rFonts w:eastAsia="Calibri"/>
          <w:sz w:val="24"/>
        </w:rPr>
        <w:t>Moseneke’s</w:t>
      </w:r>
      <w:proofErr w:type="spellEnd"/>
      <w:r w:rsidRPr="00690E18">
        <w:rPr>
          <w:rFonts w:eastAsia="Calibri"/>
          <w:sz w:val="24"/>
        </w:rPr>
        <w:t xml:space="preserve"> arbitration, lockdown due to COVID 19 making it impossible to have a physical hearing (and respondent objecting to virtual hearing), the delays in the appointment of new professional boards in 2020, unavailability of respondent legal representative, and inquest proceedings</w:t>
      </w:r>
      <w:r>
        <w:rPr>
          <w:rFonts w:eastAsia="Calibri"/>
          <w:sz w:val="24"/>
        </w:rPr>
        <w:t>.</w:t>
      </w:r>
    </w:p>
    <w:p w:rsidR="00690E18" w:rsidRPr="00690E18" w:rsidRDefault="00690E18" w:rsidP="00690E18">
      <w:pPr>
        <w:ind w:left="1418" w:hanging="709"/>
        <w:jc w:val="both"/>
        <w:rPr>
          <w:rFonts w:eastAsia="Calibri"/>
          <w:sz w:val="24"/>
        </w:rPr>
      </w:pPr>
    </w:p>
    <w:p w:rsidR="00690E18" w:rsidRDefault="00690E18" w:rsidP="00690E18">
      <w:pPr>
        <w:ind w:left="1418" w:hanging="709"/>
        <w:jc w:val="both"/>
        <w:rPr>
          <w:rFonts w:eastAsia="Calibri"/>
          <w:sz w:val="24"/>
        </w:rPr>
      </w:pPr>
      <w:r w:rsidRPr="00690E18">
        <w:rPr>
          <w:rFonts w:eastAsia="Calibri"/>
          <w:sz w:val="24"/>
        </w:rPr>
        <w:t>(b)</w:t>
      </w:r>
      <w:r w:rsidRPr="00690E18">
        <w:rPr>
          <w:rFonts w:eastAsia="Calibri"/>
          <w:sz w:val="24"/>
        </w:rPr>
        <w:tab/>
        <w:t>The parties have agreed to set the matter down for 13-15 October 2021.</w:t>
      </w:r>
    </w:p>
    <w:p w:rsidR="00690E18" w:rsidRPr="00690E18" w:rsidRDefault="00690E18" w:rsidP="00690E18">
      <w:pPr>
        <w:ind w:left="1418" w:hanging="709"/>
        <w:jc w:val="both"/>
        <w:rPr>
          <w:rFonts w:eastAsia="Calibri"/>
          <w:sz w:val="24"/>
        </w:rPr>
      </w:pPr>
    </w:p>
    <w:p w:rsidR="00690E18" w:rsidRPr="00690E18" w:rsidRDefault="00690E18" w:rsidP="00690E18">
      <w:pPr>
        <w:pStyle w:val="BodyText"/>
        <w:tabs>
          <w:tab w:val="left" w:pos="709"/>
        </w:tabs>
        <w:ind w:left="1418" w:hanging="709"/>
        <w:rPr>
          <w:sz w:val="24"/>
          <w:lang w:val="en-ZA"/>
        </w:rPr>
      </w:pPr>
      <w:r w:rsidRPr="00690E18">
        <w:rPr>
          <w:rFonts w:eastAsia="Calibri"/>
          <w:sz w:val="24"/>
        </w:rPr>
        <w:t>(c)</w:t>
      </w:r>
      <w:r w:rsidRPr="00690E18">
        <w:rPr>
          <w:rFonts w:eastAsia="Calibri"/>
          <w:sz w:val="24"/>
        </w:rPr>
        <w:tab/>
        <w:t>Fourth Preliminary Committee of Inquiry of the Medical and Dental Professional Board.</w:t>
      </w:r>
    </w:p>
    <w:p w:rsidR="00690E18" w:rsidRPr="00690E18" w:rsidRDefault="00690E18" w:rsidP="00690E18">
      <w:pPr>
        <w:pStyle w:val="BodyText"/>
        <w:ind w:left="709" w:hanging="709"/>
        <w:rPr>
          <w:sz w:val="24"/>
          <w:lang w:val="en-GB"/>
        </w:rPr>
      </w:pPr>
    </w:p>
    <w:p w:rsidR="00690E18" w:rsidRPr="00690E18" w:rsidRDefault="00690E18" w:rsidP="00690E18">
      <w:pPr>
        <w:pStyle w:val="BodyText"/>
        <w:ind w:left="709" w:hanging="709"/>
        <w:rPr>
          <w:sz w:val="24"/>
          <w:lang w:val="en-GB"/>
        </w:rPr>
      </w:pPr>
    </w:p>
    <w:p w:rsidR="00E238C2" w:rsidRPr="00E66193" w:rsidRDefault="00690E18" w:rsidP="00690E18">
      <w:pPr>
        <w:pStyle w:val="BodyText"/>
        <w:ind w:left="709" w:hanging="709"/>
        <w:rPr>
          <w:b/>
          <w:bCs/>
          <w:sz w:val="24"/>
          <w:lang w:val="en-GB"/>
        </w:rPr>
      </w:pPr>
      <w:r w:rsidRPr="00690E18">
        <w:rPr>
          <w:sz w:val="24"/>
          <w:lang w:val="en-GB"/>
        </w:rPr>
        <w:t>END.</w:t>
      </w:r>
    </w:p>
    <w:sectPr w:rsidR="00E238C2" w:rsidRPr="00E66193" w:rsidSect="00E66193">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7D" w:rsidRDefault="00194A7D">
      <w:r>
        <w:separator/>
      </w:r>
    </w:p>
  </w:endnote>
  <w:endnote w:type="continuationSeparator" w:id="0">
    <w:p w:rsidR="00194A7D" w:rsidRDefault="0019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B576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B576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13F7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7D" w:rsidRDefault="00194A7D">
      <w:r>
        <w:separator/>
      </w:r>
    </w:p>
  </w:footnote>
  <w:footnote w:type="continuationSeparator" w:id="0">
    <w:p w:rsidR="00194A7D" w:rsidRDefault="0019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A470AA"/>
    <w:multiLevelType w:val="hybridMultilevel"/>
    <w:tmpl w:val="313E9F8A"/>
    <w:lvl w:ilvl="0" w:tplc="6FA8EFBA">
      <w:start w:val="1"/>
      <w:numFmt w:val="decimal"/>
      <w:lvlText w:val="(%1)"/>
      <w:lvlJc w:val="left"/>
      <w:pPr>
        <w:ind w:left="720" w:hanging="360"/>
      </w:pPr>
      <w:rPr>
        <w:rFonts w:hint="default"/>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1D969F9"/>
    <w:multiLevelType w:val="hybridMultilevel"/>
    <w:tmpl w:val="8F2872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F2534"/>
    <w:multiLevelType w:val="hybridMultilevel"/>
    <w:tmpl w:val="4644EDF4"/>
    <w:lvl w:ilvl="0" w:tplc="253A84EE">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5">
    <w:nsid w:val="5590469F"/>
    <w:multiLevelType w:val="hybridMultilevel"/>
    <w:tmpl w:val="C00E8754"/>
    <w:lvl w:ilvl="0" w:tplc="0D6C45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11FE"/>
    <w:rsid w:val="00152B91"/>
    <w:rsid w:val="00157836"/>
    <w:rsid w:val="00160BDE"/>
    <w:rsid w:val="00162641"/>
    <w:rsid w:val="00163A17"/>
    <w:rsid w:val="001646AE"/>
    <w:rsid w:val="001651E2"/>
    <w:rsid w:val="0016798A"/>
    <w:rsid w:val="00186E43"/>
    <w:rsid w:val="00187EBF"/>
    <w:rsid w:val="001934EC"/>
    <w:rsid w:val="00194A7D"/>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99A"/>
    <w:rsid w:val="002242A9"/>
    <w:rsid w:val="00233C3B"/>
    <w:rsid w:val="0024216E"/>
    <w:rsid w:val="002519F4"/>
    <w:rsid w:val="00256B3F"/>
    <w:rsid w:val="00257F2C"/>
    <w:rsid w:val="0026258B"/>
    <w:rsid w:val="0026455A"/>
    <w:rsid w:val="0026455E"/>
    <w:rsid w:val="00267FDF"/>
    <w:rsid w:val="00271665"/>
    <w:rsid w:val="002832F3"/>
    <w:rsid w:val="002856A7"/>
    <w:rsid w:val="00294557"/>
    <w:rsid w:val="00295C7B"/>
    <w:rsid w:val="002A0E7D"/>
    <w:rsid w:val="002A5288"/>
    <w:rsid w:val="002B20CB"/>
    <w:rsid w:val="002B32D0"/>
    <w:rsid w:val="002B366B"/>
    <w:rsid w:val="002C677D"/>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BFB"/>
    <w:rsid w:val="00366B08"/>
    <w:rsid w:val="00366E06"/>
    <w:rsid w:val="0036751E"/>
    <w:rsid w:val="00371538"/>
    <w:rsid w:val="003715DB"/>
    <w:rsid w:val="00382D92"/>
    <w:rsid w:val="0039184B"/>
    <w:rsid w:val="003936A3"/>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154E"/>
    <w:rsid w:val="00495DDF"/>
    <w:rsid w:val="004A26E8"/>
    <w:rsid w:val="004B1268"/>
    <w:rsid w:val="004B3491"/>
    <w:rsid w:val="004B457B"/>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24FAF"/>
    <w:rsid w:val="00635745"/>
    <w:rsid w:val="00635890"/>
    <w:rsid w:val="00637291"/>
    <w:rsid w:val="00637567"/>
    <w:rsid w:val="0063794C"/>
    <w:rsid w:val="00646F50"/>
    <w:rsid w:val="006664AE"/>
    <w:rsid w:val="00670B4C"/>
    <w:rsid w:val="00675F2C"/>
    <w:rsid w:val="006779D4"/>
    <w:rsid w:val="00683343"/>
    <w:rsid w:val="006847A0"/>
    <w:rsid w:val="00687BCE"/>
    <w:rsid w:val="00690332"/>
    <w:rsid w:val="00690E18"/>
    <w:rsid w:val="006930ED"/>
    <w:rsid w:val="00697378"/>
    <w:rsid w:val="006A34EA"/>
    <w:rsid w:val="006B00F5"/>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3E3E"/>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7448A"/>
    <w:rsid w:val="00B83E50"/>
    <w:rsid w:val="00B84CFA"/>
    <w:rsid w:val="00B85B77"/>
    <w:rsid w:val="00B87D92"/>
    <w:rsid w:val="00B9163D"/>
    <w:rsid w:val="00B97F6D"/>
    <w:rsid w:val="00BA0ED3"/>
    <w:rsid w:val="00BA29AA"/>
    <w:rsid w:val="00BB0549"/>
    <w:rsid w:val="00BB1DD0"/>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1E5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66C4"/>
    <w:rsid w:val="00E11BD3"/>
    <w:rsid w:val="00E13F7C"/>
    <w:rsid w:val="00E161FB"/>
    <w:rsid w:val="00E20597"/>
    <w:rsid w:val="00E238C2"/>
    <w:rsid w:val="00E256E5"/>
    <w:rsid w:val="00E34F6B"/>
    <w:rsid w:val="00E371B8"/>
    <w:rsid w:val="00E3792E"/>
    <w:rsid w:val="00E37A82"/>
    <w:rsid w:val="00E42417"/>
    <w:rsid w:val="00E43571"/>
    <w:rsid w:val="00E61438"/>
    <w:rsid w:val="00E61656"/>
    <w:rsid w:val="00E6419C"/>
    <w:rsid w:val="00E66193"/>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76C"/>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2021-09-03T12:00:00Z</dcterms:created>
  <dcterms:modified xsi:type="dcterms:W3CDTF">2021-09-03T12:00:00Z</dcterms:modified>
</cp:coreProperties>
</file>