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106276" w:rsidP="00DB2624">
      <w:pPr>
        <w:rPr>
          <w:lang w:val="en-ZA"/>
        </w:rPr>
      </w:pPr>
      <w:r>
        <w:rPr>
          <w:noProof/>
          <w:lang w:val="en-ZA" w:eastAsia="en-ZA"/>
        </w:rPr>
        <w:drawing>
          <wp:anchor distT="0" distB="0" distL="0" distR="0" simplePos="0" relativeHeight="251657216" behindDoc="0" locked="0" layoutInCell="1" allowOverlap="0">
            <wp:simplePos x="0" y="0"/>
            <wp:positionH relativeFrom="column">
              <wp:posOffset>1968500</wp:posOffset>
            </wp:positionH>
            <wp:positionV relativeFrom="line">
              <wp:posOffset>0</wp:posOffset>
            </wp:positionV>
            <wp:extent cx="1325245" cy="739140"/>
            <wp:effectExtent l="0" t="0" r="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CD4820" w:rsidRDefault="00C9463B" w:rsidP="00CD4820">
      <w:pPr>
        <w:jc w:val="center"/>
        <w:rPr>
          <w:rFonts w:ascii="Arial" w:hAnsi="Arial" w:cs="Arial"/>
          <w:b/>
          <w:bCs/>
        </w:rPr>
      </w:pPr>
      <w:r w:rsidRPr="00CD4820">
        <w:rPr>
          <w:rFonts w:ascii="Arial" w:hAnsi="Arial" w:cs="Arial"/>
          <w:b/>
          <w:bCs/>
        </w:rPr>
        <w:t>NATIONAL ASSEMBLY</w:t>
      </w:r>
    </w:p>
    <w:p w:rsidR="007252FF" w:rsidRPr="00FC7668" w:rsidRDefault="007252FF" w:rsidP="00CD4820">
      <w:pPr>
        <w:jc w:val="center"/>
        <w:rPr>
          <w:rFonts w:ascii="Arial" w:hAnsi="Arial" w:cs="Arial"/>
          <w:b/>
        </w:rPr>
      </w:pPr>
      <w:r w:rsidRPr="00FC7668">
        <w:rPr>
          <w:rFonts w:ascii="Arial" w:hAnsi="Arial" w:cs="Arial"/>
          <w:b/>
        </w:rPr>
        <w:t>QUESTION FOR WRITTEN REPLY</w:t>
      </w:r>
    </w:p>
    <w:p w:rsidR="007252FF" w:rsidRPr="00FC7668" w:rsidRDefault="007252FF" w:rsidP="00CD4820">
      <w:pPr>
        <w:jc w:val="center"/>
        <w:rPr>
          <w:rFonts w:ascii="Arial" w:hAnsi="Arial" w:cs="Arial"/>
          <w:b/>
        </w:rPr>
      </w:pPr>
      <w:r w:rsidRPr="00FC7668">
        <w:rPr>
          <w:rFonts w:ascii="Arial" w:hAnsi="Arial" w:cs="Arial"/>
          <w:b/>
        </w:rPr>
        <w:t xml:space="preserve">QUESTION NO.: </w:t>
      </w:r>
      <w:r w:rsidR="00747D39">
        <w:rPr>
          <w:rFonts w:ascii="Arial" w:hAnsi="Arial" w:cs="Arial"/>
          <w:b/>
        </w:rPr>
        <w:t>1</w:t>
      </w:r>
      <w:r w:rsidR="00DB2FD8">
        <w:rPr>
          <w:rFonts w:ascii="Arial" w:hAnsi="Arial" w:cs="Arial"/>
          <w:b/>
        </w:rPr>
        <w:t>893</w:t>
      </w:r>
    </w:p>
    <w:p w:rsidR="007252FF" w:rsidRPr="00FC7668" w:rsidRDefault="007252FF" w:rsidP="006C7F97">
      <w:pPr>
        <w:jc w:val="both"/>
        <w:rPr>
          <w:rFonts w:ascii="Arial" w:hAnsi="Arial" w:cs="Arial"/>
          <w:b/>
        </w:rPr>
      </w:pPr>
    </w:p>
    <w:p w:rsidR="00CD4820" w:rsidRPr="00CD4820" w:rsidRDefault="00CD4820" w:rsidP="00DB2FD8">
      <w:pPr>
        <w:autoSpaceDE w:val="0"/>
        <w:autoSpaceDN w:val="0"/>
        <w:adjustRightInd w:val="0"/>
        <w:spacing w:line="276" w:lineRule="auto"/>
        <w:jc w:val="both"/>
        <w:rPr>
          <w:rFonts w:ascii="Arial" w:hAnsi="Arial" w:cs="Arial"/>
          <w:b/>
          <w:u w:val="single"/>
        </w:rPr>
      </w:pPr>
      <w:r w:rsidRPr="00CD4820">
        <w:rPr>
          <w:rFonts w:ascii="Arial" w:hAnsi="Arial" w:cs="Arial"/>
          <w:b/>
          <w:u w:val="single"/>
        </w:rPr>
        <w:t>QUESTION:</w:t>
      </w:r>
    </w:p>
    <w:p w:rsidR="00DB2FD8" w:rsidRPr="00DB2FD8" w:rsidRDefault="00747D39" w:rsidP="00DB2FD8">
      <w:pPr>
        <w:autoSpaceDE w:val="0"/>
        <w:autoSpaceDN w:val="0"/>
        <w:adjustRightInd w:val="0"/>
        <w:spacing w:line="276" w:lineRule="auto"/>
        <w:jc w:val="both"/>
        <w:rPr>
          <w:rFonts w:ascii="Arial" w:hAnsi="Arial" w:cs="Arial"/>
          <w:b/>
        </w:rPr>
      </w:pPr>
      <w:r w:rsidRPr="00DB2FD8">
        <w:rPr>
          <w:rFonts w:ascii="Arial" w:hAnsi="Arial" w:cs="Arial"/>
          <w:b/>
        </w:rPr>
        <w:t>1</w:t>
      </w:r>
      <w:r w:rsidR="00DB2FD8" w:rsidRPr="00DB2FD8">
        <w:rPr>
          <w:rFonts w:ascii="Arial" w:hAnsi="Arial" w:cs="Arial"/>
          <w:b/>
        </w:rPr>
        <w:t>893</w:t>
      </w:r>
      <w:r w:rsidRPr="00DB2FD8">
        <w:rPr>
          <w:rFonts w:ascii="Arial" w:hAnsi="Arial" w:cs="Arial"/>
          <w:b/>
        </w:rPr>
        <w:t xml:space="preserve">. </w:t>
      </w:r>
      <w:r w:rsidR="00DB2FD8" w:rsidRPr="00DB2FD8">
        <w:rPr>
          <w:rFonts w:ascii="Arial" w:hAnsi="Arial" w:cs="Arial"/>
          <w:b/>
        </w:rPr>
        <w:t xml:space="preserve">Mr G K Y Cachalia (DA) to ask the Minister of Public Enterprises: </w:t>
      </w:r>
    </w:p>
    <w:p w:rsidR="00DB2FD8" w:rsidRPr="003F45E9" w:rsidRDefault="00DB2FD8" w:rsidP="00DB2FD8">
      <w:pPr>
        <w:autoSpaceDE w:val="0"/>
        <w:autoSpaceDN w:val="0"/>
        <w:adjustRightInd w:val="0"/>
        <w:spacing w:line="276" w:lineRule="auto"/>
        <w:jc w:val="both"/>
        <w:rPr>
          <w:rFonts w:ascii="Tahoma" w:hAnsi="Tahoma" w:cs="Tahoma"/>
          <w:sz w:val="22"/>
          <w:szCs w:val="22"/>
        </w:rPr>
      </w:pPr>
    </w:p>
    <w:p w:rsidR="002F5E77" w:rsidRDefault="00DB2FD8" w:rsidP="00DB2FD8">
      <w:pPr>
        <w:spacing w:line="360" w:lineRule="auto"/>
        <w:jc w:val="both"/>
        <w:rPr>
          <w:rFonts w:ascii="Arial" w:hAnsi="Arial" w:cs="Arial"/>
        </w:rPr>
      </w:pPr>
      <w:r w:rsidRPr="00DB2FD8">
        <w:rPr>
          <w:rFonts w:ascii="Arial" w:hAnsi="Arial" w:cs="Arial"/>
        </w:rPr>
        <w:t>In light of the fact that Transnet Port Terminals (TPT), the state-owned freight company’s division that operates the container terminals at the biggest ports of the Republic, including Cape Town, Port Elizabeth, Ngqura and Durban, has declared force majeure late on 26 July 2021 after its IT systems suffered a massive cyberattack the previous week that crippled its operations, (a) what is the extent and effect of the attack, (b) what is being done to (i) mitigate effects of the attack and (ii) ensure no repeat of the attack, (c) how did the attack come about, (d) who was responsible, (e</w:t>
      </w:r>
      <w:bookmarkStart w:id="0" w:name="_Hlk80689311"/>
      <w:r w:rsidRPr="00DB2FD8">
        <w:rPr>
          <w:rFonts w:ascii="Arial" w:hAnsi="Arial" w:cs="Arial"/>
        </w:rPr>
        <w:t>) on what date is it envisaged that TPT operations will return to normalcy</w:t>
      </w:r>
      <w:bookmarkEnd w:id="0"/>
      <w:r w:rsidRPr="00DB2FD8">
        <w:rPr>
          <w:rFonts w:ascii="Arial" w:hAnsi="Arial" w:cs="Arial"/>
        </w:rPr>
        <w:t xml:space="preserve"> and (f)(i) what are the details of the impact of the attack on exports and imports and (ii) how are customers being assisted in the interim?</w:t>
      </w:r>
    </w:p>
    <w:p w:rsidR="00DB2FD8" w:rsidRPr="00DB2FD8" w:rsidRDefault="00DB2FD8" w:rsidP="00DB2FD8">
      <w:pPr>
        <w:spacing w:line="360" w:lineRule="auto"/>
        <w:jc w:val="both"/>
        <w:rPr>
          <w:rFonts w:ascii="Arial" w:hAnsi="Arial" w:cs="Arial"/>
          <w:b/>
        </w:rPr>
      </w:pPr>
    </w:p>
    <w:p w:rsidR="009C60BB" w:rsidRDefault="009C60BB">
      <w:pPr>
        <w:rPr>
          <w:rFonts w:ascii="Arial" w:hAnsi="Arial" w:cs="Arial"/>
          <w:b/>
          <w:u w:val="single"/>
        </w:rPr>
      </w:pPr>
      <w:r>
        <w:rPr>
          <w:rFonts w:ascii="Arial" w:hAnsi="Arial" w:cs="Arial"/>
          <w:b/>
          <w:u w:val="single"/>
        </w:rPr>
        <w:br w:type="page"/>
      </w:r>
    </w:p>
    <w:p w:rsidR="00CD4820" w:rsidRPr="00CD4820" w:rsidRDefault="00CD4820" w:rsidP="00C77F7A">
      <w:pPr>
        <w:tabs>
          <w:tab w:val="left" w:pos="6930"/>
        </w:tabs>
        <w:spacing w:line="360" w:lineRule="auto"/>
        <w:rPr>
          <w:rFonts w:ascii="Arial" w:hAnsi="Arial" w:cs="Arial"/>
          <w:b/>
          <w:u w:val="single"/>
        </w:rPr>
      </w:pPr>
      <w:r w:rsidRPr="00CD4820">
        <w:rPr>
          <w:rFonts w:ascii="Arial" w:hAnsi="Arial" w:cs="Arial"/>
          <w:b/>
          <w:u w:val="single"/>
        </w:rPr>
        <w:lastRenderedPageBreak/>
        <w:t>REPLY:</w:t>
      </w:r>
    </w:p>
    <w:p w:rsidR="002F5E77" w:rsidRPr="00747D39" w:rsidRDefault="00CD4820" w:rsidP="00C77F7A">
      <w:pPr>
        <w:tabs>
          <w:tab w:val="left" w:pos="6930"/>
        </w:tabs>
        <w:spacing w:line="360" w:lineRule="auto"/>
        <w:rPr>
          <w:rFonts w:ascii="Arial" w:hAnsi="Arial" w:cs="Arial"/>
          <w:b/>
        </w:rPr>
      </w:pPr>
      <w:r>
        <w:rPr>
          <w:rFonts w:ascii="Arial" w:hAnsi="Arial" w:cs="Arial"/>
          <w:b/>
        </w:rPr>
        <w:t xml:space="preserve">According to the information from </w:t>
      </w:r>
      <w:r w:rsidR="0097033F" w:rsidRPr="00747D39">
        <w:rPr>
          <w:rFonts w:ascii="Arial" w:hAnsi="Arial" w:cs="Arial"/>
          <w:b/>
        </w:rPr>
        <w:t>T</w:t>
      </w:r>
      <w:r w:rsidR="006574A8" w:rsidRPr="00747D39">
        <w:rPr>
          <w:rFonts w:ascii="Arial" w:hAnsi="Arial" w:cs="Arial"/>
          <w:b/>
        </w:rPr>
        <w:t>ransnet response</w:t>
      </w:r>
      <w:r w:rsidR="0097033F" w:rsidRPr="00747D39">
        <w:rPr>
          <w:rFonts w:ascii="Arial" w:hAnsi="Arial" w:cs="Arial"/>
          <w:b/>
        </w:rPr>
        <w:t>:</w:t>
      </w:r>
      <w:r w:rsidR="002A0C5B" w:rsidRPr="00747D39">
        <w:rPr>
          <w:rFonts w:ascii="Arial" w:hAnsi="Arial" w:cs="Arial"/>
          <w:b/>
        </w:rPr>
        <w:tab/>
      </w:r>
    </w:p>
    <w:p w:rsidR="00DB2FD8" w:rsidRPr="00DB2FD8" w:rsidRDefault="00DB2FD8" w:rsidP="00DB2FD8">
      <w:pPr>
        <w:spacing w:before="100" w:beforeAutospacing="1" w:after="100" w:afterAutospacing="1"/>
        <w:ind w:left="851" w:hanging="851"/>
        <w:jc w:val="both"/>
        <w:rPr>
          <w:rFonts w:ascii="Arial" w:hAnsi="Arial" w:cs="Arial"/>
        </w:rPr>
      </w:pPr>
      <w:r w:rsidRPr="00DB2FD8">
        <w:rPr>
          <w:rFonts w:ascii="Arial" w:hAnsi="Arial" w:cs="Arial"/>
        </w:rPr>
        <w:t>(a)</w:t>
      </w:r>
      <w:r w:rsidRPr="00DB2FD8">
        <w:rPr>
          <w:rFonts w:ascii="Arial" w:hAnsi="Arial" w:cs="Arial"/>
        </w:rPr>
        <w:tab/>
        <w:t>Initially all ICT systems were shut down to stop the spread of the malware.  Some servers and some workstations that were online at the time of the attack were encrypted by the ransomware.</w:t>
      </w:r>
    </w:p>
    <w:p w:rsidR="00DB2FD8" w:rsidRPr="00DB2FD8" w:rsidRDefault="00DB2FD8" w:rsidP="00DB2FD8">
      <w:pPr>
        <w:spacing w:before="100" w:beforeAutospacing="1" w:after="100" w:afterAutospacing="1"/>
        <w:ind w:left="851" w:hanging="851"/>
        <w:jc w:val="both"/>
        <w:rPr>
          <w:rFonts w:ascii="Arial" w:hAnsi="Arial" w:cs="Arial"/>
        </w:rPr>
      </w:pPr>
      <w:r w:rsidRPr="00DB2FD8">
        <w:rPr>
          <w:rFonts w:ascii="Arial" w:hAnsi="Arial" w:cs="Arial"/>
        </w:rPr>
        <w:t>(b)(i)</w:t>
      </w:r>
      <w:r w:rsidRPr="00DB2FD8">
        <w:rPr>
          <w:rFonts w:ascii="Arial" w:hAnsi="Arial" w:cs="Arial"/>
        </w:rPr>
        <w:tab/>
        <w:t xml:space="preserve">An incident response team was brought in to assist with the secure rebuild of the active directory servers.  A second incident response team assisted with containing the incident and performing a forensic scan of all machines.  </w:t>
      </w:r>
    </w:p>
    <w:p w:rsidR="00DB2FD8" w:rsidRPr="00DB2FD8" w:rsidRDefault="00DB2FD8" w:rsidP="00DB2FD8">
      <w:pPr>
        <w:pStyle w:val="xmsonormal"/>
        <w:ind w:left="284" w:hanging="284"/>
        <w:jc w:val="both"/>
        <w:rPr>
          <w:rFonts w:ascii="Arial" w:eastAsia="Times New Roman" w:hAnsi="Arial" w:cs="Arial"/>
          <w:sz w:val="24"/>
          <w:szCs w:val="24"/>
          <w:lang w:val="en-US" w:eastAsia="en-US"/>
        </w:rPr>
      </w:pPr>
    </w:p>
    <w:p w:rsidR="00DB2FD8" w:rsidRPr="00DB2FD8" w:rsidRDefault="00DB2FD8" w:rsidP="00DB2FD8">
      <w:pPr>
        <w:pStyle w:val="xmsonormal"/>
        <w:ind w:left="851" w:hanging="851"/>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(b)(ii)</w:t>
      </w:r>
      <w:r>
        <w:rPr>
          <w:rFonts w:ascii="Arial" w:eastAsia="Times New Roman" w:hAnsi="Arial" w:cs="Arial"/>
          <w:sz w:val="24"/>
          <w:szCs w:val="24"/>
          <w:lang w:val="en-US" w:eastAsia="en-US"/>
        </w:rPr>
        <w:tab/>
      </w:r>
      <w:r w:rsidRPr="00DB2FD8">
        <w:rPr>
          <w:rFonts w:ascii="Arial" w:eastAsia="Times New Roman" w:hAnsi="Arial" w:cs="Arial"/>
          <w:sz w:val="24"/>
          <w:szCs w:val="24"/>
          <w:lang w:val="en-US" w:eastAsia="en-US"/>
        </w:rPr>
        <w:t xml:space="preserve">Transnet was already in the process of rolling out additional security measures across the network. This has been fast-tracked and all machines that are brought back on on-line have the security stack deployed.  A separate Endpoint Detection and Response (EDR) and forensic agent has been deployed on all machines before they were brought back online. </w:t>
      </w:r>
    </w:p>
    <w:p w:rsidR="00DB2FD8" w:rsidRPr="00DB2FD8" w:rsidRDefault="00DB2FD8" w:rsidP="00DB2FD8">
      <w:pPr>
        <w:pStyle w:val="xmsonormal"/>
        <w:ind w:left="284" w:hanging="284"/>
        <w:jc w:val="both"/>
        <w:rPr>
          <w:rFonts w:ascii="Arial" w:eastAsia="Times New Roman" w:hAnsi="Arial" w:cs="Arial"/>
          <w:sz w:val="24"/>
          <w:szCs w:val="24"/>
          <w:lang w:val="en-US" w:eastAsia="en-US"/>
        </w:rPr>
      </w:pPr>
    </w:p>
    <w:p w:rsidR="00DB2FD8" w:rsidRPr="00DB2FD8" w:rsidRDefault="00DB2FD8" w:rsidP="00DB2FD8">
      <w:pPr>
        <w:pStyle w:val="xmsonormal"/>
        <w:ind w:left="851"/>
        <w:jc w:val="both"/>
        <w:rPr>
          <w:rFonts w:ascii="Arial" w:eastAsia="Times New Roman" w:hAnsi="Arial" w:cs="Arial"/>
          <w:sz w:val="24"/>
          <w:szCs w:val="24"/>
          <w:lang w:val="en-US" w:eastAsia="en-US"/>
        </w:rPr>
      </w:pPr>
      <w:r w:rsidRPr="00DB2FD8">
        <w:rPr>
          <w:rFonts w:ascii="Arial" w:eastAsia="Times New Roman" w:hAnsi="Arial" w:cs="Arial"/>
          <w:sz w:val="24"/>
          <w:szCs w:val="24"/>
          <w:lang w:val="en-US" w:eastAsia="en-US"/>
        </w:rPr>
        <w:t xml:space="preserve">All older operating systems have been upgraded to current operating systems and were fully patched before being brought back online. </w:t>
      </w:r>
    </w:p>
    <w:p w:rsidR="00DB2FD8" w:rsidRPr="00DB2FD8" w:rsidRDefault="00DB2FD8" w:rsidP="00DB2FD8">
      <w:pPr>
        <w:pStyle w:val="xmsonormal"/>
        <w:ind w:left="284" w:hanging="284"/>
        <w:jc w:val="both"/>
        <w:rPr>
          <w:rFonts w:ascii="Arial" w:eastAsia="Times New Roman" w:hAnsi="Arial" w:cs="Arial"/>
          <w:sz w:val="24"/>
          <w:szCs w:val="24"/>
          <w:lang w:val="en-US" w:eastAsia="en-US"/>
        </w:rPr>
      </w:pPr>
    </w:p>
    <w:p w:rsidR="00DB2FD8" w:rsidRPr="00DB2FD8" w:rsidRDefault="00DB2FD8" w:rsidP="00DB2FD8">
      <w:pPr>
        <w:pStyle w:val="xmsonormal"/>
        <w:ind w:left="851"/>
        <w:jc w:val="both"/>
        <w:rPr>
          <w:rFonts w:ascii="Arial" w:eastAsia="Times New Roman" w:hAnsi="Arial" w:cs="Arial"/>
          <w:sz w:val="24"/>
          <w:szCs w:val="24"/>
          <w:lang w:val="en-US" w:eastAsia="en-US"/>
        </w:rPr>
      </w:pPr>
      <w:r w:rsidRPr="00DB2FD8">
        <w:rPr>
          <w:rFonts w:ascii="Arial" w:eastAsia="Times New Roman" w:hAnsi="Arial" w:cs="Arial"/>
          <w:sz w:val="24"/>
          <w:szCs w:val="24"/>
          <w:lang w:val="en-US" w:eastAsia="en-US"/>
        </w:rPr>
        <w:t xml:space="preserve">Transnet has also deployed a web access firewall, reverse proxy and </w:t>
      </w:r>
      <w:r w:rsidR="004F6922">
        <w:rPr>
          <w:rFonts w:ascii="Arial" w:eastAsia="Times New Roman" w:hAnsi="Arial" w:cs="Arial"/>
          <w:sz w:val="24"/>
          <w:szCs w:val="24"/>
          <w:lang w:val="en-US" w:eastAsia="en-US"/>
        </w:rPr>
        <w:t xml:space="preserve">an </w:t>
      </w:r>
      <w:r w:rsidRPr="00DB2FD8">
        <w:rPr>
          <w:rFonts w:ascii="Arial" w:eastAsia="Times New Roman" w:hAnsi="Arial" w:cs="Arial"/>
          <w:sz w:val="24"/>
          <w:szCs w:val="24"/>
          <w:lang w:val="en-US" w:eastAsia="en-US"/>
        </w:rPr>
        <w:t xml:space="preserve">anti-distributed denial of service system for all public websites. </w:t>
      </w:r>
    </w:p>
    <w:p w:rsidR="00DB2FD8" w:rsidRPr="00DB2FD8" w:rsidRDefault="00DB2FD8" w:rsidP="00DB2FD8">
      <w:pPr>
        <w:pStyle w:val="xmsonormal"/>
        <w:ind w:left="284" w:hanging="284"/>
        <w:jc w:val="both"/>
        <w:rPr>
          <w:rFonts w:ascii="Arial" w:eastAsia="Times New Roman" w:hAnsi="Arial" w:cs="Arial"/>
          <w:sz w:val="24"/>
          <w:szCs w:val="24"/>
          <w:lang w:val="en-US" w:eastAsia="en-US"/>
        </w:rPr>
      </w:pPr>
    </w:p>
    <w:p w:rsidR="00DB2FD8" w:rsidRPr="00DB2FD8" w:rsidRDefault="00DB2FD8" w:rsidP="00DB2FD8">
      <w:pPr>
        <w:pStyle w:val="xmsonormal"/>
        <w:ind w:left="851" w:hanging="851"/>
        <w:jc w:val="both"/>
        <w:rPr>
          <w:rFonts w:ascii="Arial" w:hAnsi="Arial" w:cs="Arial"/>
          <w:sz w:val="24"/>
          <w:szCs w:val="24"/>
        </w:rPr>
      </w:pPr>
      <w:r w:rsidRPr="00DB2FD8">
        <w:rPr>
          <w:rFonts w:ascii="Arial" w:hAnsi="Arial" w:cs="Arial"/>
          <w:sz w:val="24"/>
          <w:szCs w:val="24"/>
        </w:rPr>
        <w:t xml:space="preserve">(c) </w:t>
      </w:r>
      <w:r>
        <w:rPr>
          <w:rFonts w:ascii="Arial" w:hAnsi="Arial" w:cs="Arial"/>
          <w:sz w:val="24"/>
          <w:szCs w:val="24"/>
        </w:rPr>
        <w:tab/>
      </w:r>
      <w:r w:rsidRPr="00DB2FD8">
        <w:rPr>
          <w:rFonts w:ascii="Arial" w:hAnsi="Arial" w:cs="Arial"/>
          <w:sz w:val="24"/>
          <w:szCs w:val="24"/>
        </w:rPr>
        <w:t xml:space="preserve">It was a ransomware attack. There is a criminal investigation in progress. </w:t>
      </w:r>
    </w:p>
    <w:p w:rsidR="00DB2FD8" w:rsidRPr="00DB2FD8" w:rsidRDefault="00DB2FD8" w:rsidP="00DB2FD8">
      <w:pPr>
        <w:tabs>
          <w:tab w:val="left" w:pos="851"/>
        </w:tabs>
        <w:spacing w:before="100" w:beforeAutospacing="1" w:after="100" w:afterAutospacing="1"/>
        <w:jc w:val="both"/>
        <w:rPr>
          <w:rFonts w:ascii="Arial" w:hAnsi="Arial" w:cs="Arial"/>
          <w:b/>
          <w:bCs/>
        </w:rPr>
      </w:pPr>
      <w:r w:rsidRPr="00DB2FD8">
        <w:rPr>
          <w:rFonts w:ascii="Arial" w:hAnsi="Arial" w:cs="Arial"/>
        </w:rPr>
        <w:t xml:space="preserve">(d) </w:t>
      </w:r>
      <w:r>
        <w:rPr>
          <w:rFonts w:ascii="Arial" w:hAnsi="Arial" w:cs="Arial"/>
        </w:rPr>
        <w:tab/>
      </w:r>
      <w:r w:rsidRPr="00DB2FD8">
        <w:rPr>
          <w:rFonts w:ascii="Arial" w:hAnsi="Arial" w:cs="Arial"/>
        </w:rPr>
        <w:t>There is a criminal investigation in progress.</w:t>
      </w:r>
    </w:p>
    <w:p w:rsidR="00DB2FD8" w:rsidRPr="00DB2FD8" w:rsidRDefault="00DB2FD8" w:rsidP="00DB2FD8">
      <w:pPr>
        <w:autoSpaceDE w:val="0"/>
        <w:autoSpaceDN w:val="0"/>
        <w:adjustRightInd w:val="0"/>
        <w:spacing w:line="280" w:lineRule="atLeast"/>
        <w:ind w:left="851" w:hanging="851"/>
        <w:jc w:val="both"/>
        <w:rPr>
          <w:rFonts w:ascii="Arial" w:hAnsi="Arial" w:cs="Arial"/>
          <w:b/>
          <w:bCs/>
        </w:rPr>
      </w:pPr>
      <w:r w:rsidRPr="00DB2FD8">
        <w:rPr>
          <w:rFonts w:ascii="Arial" w:hAnsi="Arial" w:cs="Arial"/>
          <w:bCs/>
        </w:rPr>
        <w:t>(e)</w:t>
      </w:r>
      <w:r w:rsidRPr="00DB2FD8">
        <w:rPr>
          <w:rFonts w:ascii="Arial" w:hAnsi="Arial" w:cs="Arial"/>
          <w:b/>
        </w:rPr>
        <w:t xml:space="preserve"> </w:t>
      </w:r>
      <w:r w:rsidRPr="00DB2FD8">
        <w:rPr>
          <w:rFonts w:ascii="Arial" w:hAnsi="Arial" w:cs="Arial"/>
          <w:bCs/>
        </w:rPr>
        <w:t xml:space="preserve"> </w:t>
      </w:r>
      <w:r>
        <w:rPr>
          <w:rFonts w:ascii="Arial" w:hAnsi="Arial" w:cs="Arial"/>
          <w:bCs/>
        </w:rPr>
        <w:tab/>
      </w:r>
      <w:r w:rsidRPr="00DB2FD8">
        <w:rPr>
          <w:rFonts w:ascii="Arial" w:hAnsi="Arial" w:cs="Arial"/>
          <w:bCs/>
        </w:rPr>
        <w:t>All customer interfaces and the NAVIS terminal operating system have returned to normal. TPT has continued to keep customers and stakeholders informed of the progress made since Thursday 22 July 2021. Transnet will continue to engage in the dedicated daily recovery fora and meetings until all operations and the entire supply chains ha</w:t>
      </w:r>
      <w:r w:rsidR="004F6922">
        <w:rPr>
          <w:rFonts w:ascii="Arial" w:hAnsi="Arial" w:cs="Arial"/>
          <w:bCs/>
        </w:rPr>
        <w:t>ve</w:t>
      </w:r>
      <w:r w:rsidRPr="00DB2FD8">
        <w:rPr>
          <w:rFonts w:ascii="Arial" w:hAnsi="Arial" w:cs="Arial"/>
          <w:bCs/>
        </w:rPr>
        <w:t xml:space="preserve"> normalised. For example, Transnet has a dedicated weekly recovery session with Business Unity South Africa, which commenced on 28 July 2021 and is planned to conclude on 20 September 2021. Other meetings with port stakeholders will continue daily, until congestion has been resolved. </w:t>
      </w:r>
    </w:p>
    <w:p w:rsidR="00DB2FD8" w:rsidRPr="00DB2FD8" w:rsidRDefault="00DB2FD8" w:rsidP="00942BB9">
      <w:pPr>
        <w:spacing w:before="100" w:beforeAutospacing="1" w:after="100" w:afterAutospacing="1"/>
        <w:ind w:left="851" w:hanging="851"/>
        <w:jc w:val="both"/>
        <w:rPr>
          <w:rFonts w:ascii="Arial" w:hAnsi="Arial" w:cs="Arial"/>
          <w:bCs/>
          <w:lang w:val="en-ZA"/>
        </w:rPr>
      </w:pPr>
      <w:r w:rsidRPr="00DB2FD8">
        <w:rPr>
          <w:rFonts w:ascii="Arial" w:hAnsi="Arial" w:cs="Arial"/>
          <w:lang w:val="en-ZA"/>
        </w:rPr>
        <w:t>(f)(i)</w:t>
      </w:r>
      <w:r w:rsidRPr="00DB2FD8">
        <w:rPr>
          <w:rFonts w:ascii="Arial" w:hAnsi="Arial" w:cs="Arial"/>
          <w:b/>
          <w:bCs/>
          <w:lang w:val="en-ZA"/>
        </w:rPr>
        <w:t xml:space="preserve"> </w:t>
      </w:r>
      <w:r>
        <w:rPr>
          <w:rFonts w:ascii="Arial" w:hAnsi="Arial" w:cs="Arial"/>
          <w:b/>
          <w:bCs/>
          <w:lang w:val="en-ZA"/>
        </w:rPr>
        <w:t xml:space="preserve"> </w:t>
      </w:r>
      <w:r w:rsidR="00942BB9">
        <w:rPr>
          <w:rFonts w:ascii="Arial" w:hAnsi="Arial" w:cs="Arial"/>
          <w:b/>
          <w:bCs/>
          <w:lang w:val="en-ZA"/>
        </w:rPr>
        <w:t xml:space="preserve"> </w:t>
      </w:r>
      <w:r w:rsidRPr="00DB2FD8">
        <w:rPr>
          <w:rFonts w:ascii="Arial" w:hAnsi="Arial" w:cs="Arial"/>
          <w:bCs/>
          <w:lang w:val="en-ZA"/>
        </w:rPr>
        <w:t xml:space="preserve">Container volumes were delayed as a result of the cyber-attack or the resulting congestion. However, most imports and exports would still be serviced through SA or neighbouring Ports, albeit later than originally planned.  </w:t>
      </w:r>
    </w:p>
    <w:p w:rsidR="00DB2FD8" w:rsidRPr="00DB2FD8" w:rsidRDefault="00DB2FD8" w:rsidP="00942BB9">
      <w:pPr>
        <w:ind w:left="851"/>
        <w:jc w:val="both"/>
        <w:rPr>
          <w:rFonts w:ascii="Arial" w:hAnsi="Arial" w:cs="Arial"/>
          <w:b/>
          <w:bCs/>
          <w:lang w:val="en-ZA"/>
        </w:rPr>
      </w:pPr>
      <w:r w:rsidRPr="00DB2FD8">
        <w:rPr>
          <w:rFonts w:ascii="Arial" w:hAnsi="Arial" w:cs="Arial"/>
          <w:bCs/>
          <w:lang w:val="en-ZA"/>
        </w:rPr>
        <w:t>Automotive vessels were delayed due to system unavailability, which was mitigated by the implementation of manual processes. Some vessels have been diverted between terminals and other delayed volumes have caught up. Hence, the impact on volumes through SA ports is negligible.</w:t>
      </w:r>
    </w:p>
    <w:p w:rsidR="00DB2FD8" w:rsidRPr="00DB2FD8" w:rsidRDefault="00DB2FD8" w:rsidP="00942BB9">
      <w:pPr>
        <w:ind w:left="851" w:hanging="491"/>
        <w:jc w:val="both"/>
        <w:rPr>
          <w:rFonts w:ascii="Arial" w:hAnsi="Arial" w:cs="Arial"/>
          <w:bCs/>
          <w:lang w:val="en-ZA"/>
        </w:rPr>
      </w:pPr>
    </w:p>
    <w:p w:rsidR="00DB2FD8" w:rsidRDefault="00DB2FD8" w:rsidP="00942BB9">
      <w:pPr>
        <w:spacing w:after="100" w:afterAutospacing="1"/>
        <w:ind w:left="851"/>
        <w:jc w:val="both"/>
        <w:rPr>
          <w:rFonts w:ascii="Arial" w:hAnsi="Arial" w:cs="Arial"/>
          <w:bCs/>
          <w:lang w:val="en-ZA"/>
        </w:rPr>
      </w:pPr>
      <w:r w:rsidRPr="00DB2FD8">
        <w:rPr>
          <w:rFonts w:ascii="Arial" w:hAnsi="Arial" w:cs="Arial"/>
          <w:bCs/>
          <w:lang w:val="en-ZA"/>
        </w:rPr>
        <w:t xml:space="preserve">In respect of Bulk and Breakbulk cargo, Business Continuity (manual processes) significantly mitigated the potential loss of volumes. No material impact is expected on Bulk and Breakbulk volumes as a result of the system down time. </w:t>
      </w:r>
    </w:p>
    <w:p w:rsidR="00DB2FD8" w:rsidRPr="00DB2FD8" w:rsidRDefault="00DB2FD8" w:rsidP="00AA7362">
      <w:pPr>
        <w:spacing w:before="100" w:beforeAutospacing="1" w:after="100" w:afterAutospacing="1"/>
        <w:ind w:left="851" w:hanging="851"/>
        <w:jc w:val="both"/>
        <w:rPr>
          <w:rFonts w:ascii="Arial" w:hAnsi="Arial" w:cs="Arial"/>
          <w:bCs/>
          <w:lang w:val="en-ZA"/>
        </w:rPr>
      </w:pPr>
      <w:r w:rsidRPr="00AA7362">
        <w:rPr>
          <w:rFonts w:ascii="Arial" w:hAnsi="Arial" w:cs="Arial"/>
        </w:rPr>
        <w:t>(f)(ii)</w:t>
      </w:r>
      <w:r w:rsidRPr="00DB2FD8">
        <w:rPr>
          <w:rFonts w:ascii="Arial" w:hAnsi="Arial" w:cs="Arial"/>
          <w:b/>
          <w:bCs/>
        </w:rPr>
        <w:t xml:space="preserve"> </w:t>
      </w:r>
      <w:r w:rsidRPr="00DB2FD8">
        <w:rPr>
          <w:rFonts w:ascii="Arial" w:hAnsi="Arial" w:cs="Arial"/>
          <w:bCs/>
          <w:lang w:val="en-ZA"/>
        </w:rPr>
        <w:t xml:space="preserve">  TPT will continue to engage in dedicated recovery forums, until all operations and the entire supply chain</w:t>
      </w:r>
      <w:r w:rsidR="00A9094F">
        <w:rPr>
          <w:rFonts w:ascii="Arial" w:hAnsi="Arial" w:cs="Arial"/>
          <w:bCs/>
          <w:lang w:val="en-ZA"/>
        </w:rPr>
        <w:t>s</w:t>
      </w:r>
      <w:r w:rsidRPr="00DB2FD8">
        <w:rPr>
          <w:rFonts w:ascii="Arial" w:hAnsi="Arial" w:cs="Arial"/>
          <w:bCs/>
          <w:lang w:val="en-ZA"/>
        </w:rPr>
        <w:t xml:space="preserve"> have normalised.</w:t>
      </w:r>
    </w:p>
    <w:p w:rsidR="00DB2FD8" w:rsidRPr="00DB2FD8" w:rsidRDefault="00DB2FD8" w:rsidP="00AA7362">
      <w:pPr>
        <w:pStyle w:val="ListParagraph"/>
        <w:spacing w:before="100" w:beforeAutospacing="1" w:after="100" w:afterAutospacing="1"/>
        <w:ind w:left="851"/>
        <w:jc w:val="both"/>
        <w:rPr>
          <w:rFonts w:ascii="Arial" w:hAnsi="Arial" w:cs="Arial"/>
          <w:sz w:val="24"/>
          <w:szCs w:val="24"/>
        </w:rPr>
      </w:pPr>
      <w:r w:rsidRPr="00DB2FD8">
        <w:rPr>
          <w:rFonts w:ascii="Arial" w:hAnsi="Arial" w:cs="Arial"/>
          <w:bCs/>
          <w:sz w:val="24"/>
          <w:szCs w:val="24"/>
          <w:lang w:val="en-ZA"/>
        </w:rPr>
        <w:t>In addition to the broader fora, TPT engages directly with the shipping lines, to plan jointly to ensure fluid operations at the terminals and on the waterside.</w:t>
      </w:r>
      <w:r w:rsidRPr="00DB2FD8">
        <w:rPr>
          <w:rFonts w:ascii="Arial" w:hAnsi="Arial" w:cs="Arial"/>
          <w:sz w:val="24"/>
          <w:szCs w:val="24"/>
        </w:rPr>
        <w:t xml:space="preserve"> </w:t>
      </w:r>
    </w:p>
    <w:p w:rsidR="00D722CA" w:rsidRDefault="00D722CA" w:rsidP="00986979">
      <w:pPr>
        <w:rPr>
          <w:rFonts w:ascii="Arial" w:hAnsi="Arial" w:cs="Arial"/>
        </w:rPr>
      </w:pPr>
    </w:p>
    <w:p w:rsidR="00986979" w:rsidRDefault="00986979" w:rsidP="00986979">
      <w:pPr>
        <w:rPr>
          <w:rFonts w:ascii="Tahoma" w:hAnsi="Tahoma" w:cs="Tahoma"/>
        </w:rPr>
      </w:pPr>
    </w:p>
    <w:p w:rsidR="00E671CD" w:rsidRPr="003F65A0" w:rsidRDefault="00E671CD" w:rsidP="003F65A0">
      <w:pPr>
        <w:spacing w:line="276" w:lineRule="auto"/>
        <w:ind w:left="568" w:hanging="568"/>
        <w:jc w:val="both"/>
        <w:rPr>
          <w:rFonts w:ascii="Arial" w:hAnsi="Arial" w:cs="Arial"/>
          <w:lang w:val="en-GB"/>
        </w:rPr>
      </w:pPr>
    </w:p>
    <w:p w:rsidR="00E671CD" w:rsidRPr="00E671CD" w:rsidRDefault="00E671CD" w:rsidP="00E671CD">
      <w:pPr>
        <w:ind w:left="567" w:hanging="709"/>
        <w:jc w:val="both"/>
        <w:rPr>
          <w:rFonts w:ascii="Arial" w:hAnsi="Arial" w:cs="Arial"/>
          <w:lang w:val="en-GB"/>
        </w:rPr>
      </w:pPr>
    </w:p>
    <w:p w:rsidR="006574A8" w:rsidRPr="006574A8" w:rsidRDefault="006574A8" w:rsidP="00C77F7A">
      <w:pPr>
        <w:spacing w:line="360" w:lineRule="auto"/>
        <w:rPr>
          <w:rFonts w:ascii="Arial" w:hAnsi="Arial" w:cs="Arial"/>
        </w:rPr>
      </w:pPr>
    </w:p>
    <w:p w:rsidR="006574A8" w:rsidRPr="006574A8" w:rsidRDefault="006574A8" w:rsidP="00C77F7A">
      <w:pPr>
        <w:spacing w:line="360" w:lineRule="auto"/>
        <w:jc w:val="both"/>
        <w:rPr>
          <w:rFonts w:ascii="Arial" w:hAnsi="Arial" w:cs="Arial"/>
        </w:rPr>
      </w:pPr>
    </w:p>
    <w:p w:rsidR="00DB2FD8" w:rsidRPr="003F45E9" w:rsidRDefault="00DB2FD8" w:rsidP="00DB2FD8">
      <w:pPr>
        <w:autoSpaceDE w:val="0"/>
        <w:autoSpaceDN w:val="0"/>
        <w:adjustRightInd w:val="0"/>
        <w:spacing w:line="280" w:lineRule="atLeast"/>
        <w:jc w:val="both"/>
        <w:rPr>
          <w:rFonts w:ascii="Tahoma" w:hAnsi="Tahoma" w:cs="Tahoma"/>
          <w:b/>
          <w:bCs/>
          <w:sz w:val="22"/>
          <w:szCs w:val="22"/>
        </w:rPr>
      </w:pPr>
      <w:bookmarkStart w:id="1" w:name="_GoBack"/>
      <w:bookmarkEnd w:id="1"/>
    </w:p>
    <w:p w:rsidR="00DB2FD8" w:rsidRPr="003F45E9" w:rsidRDefault="00DB2FD8" w:rsidP="00DB2FD8">
      <w:pPr>
        <w:spacing w:before="100" w:beforeAutospacing="1" w:after="100" w:afterAutospacing="1"/>
        <w:jc w:val="both"/>
        <w:rPr>
          <w:rFonts w:ascii="Tahoma" w:hAnsi="Tahoma" w:cs="Tahoma"/>
          <w:sz w:val="22"/>
          <w:szCs w:val="22"/>
        </w:rPr>
      </w:pPr>
      <w:r w:rsidRPr="003F45E9">
        <w:rPr>
          <w:rFonts w:ascii="Tahoma" w:hAnsi="Tahoma" w:cs="Tahoma"/>
          <w:sz w:val="22"/>
          <w:szCs w:val="22"/>
        </w:rPr>
        <w:tab/>
      </w:r>
    </w:p>
    <w:p w:rsidR="00986979" w:rsidRPr="00D03FB4" w:rsidRDefault="00986979" w:rsidP="00986979">
      <w:pPr>
        <w:autoSpaceDE w:val="0"/>
        <w:autoSpaceDN w:val="0"/>
        <w:adjustRightInd w:val="0"/>
        <w:spacing w:line="280" w:lineRule="atLeast"/>
        <w:jc w:val="center"/>
        <w:rPr>
          <w:rFonts w:ascii="Tahoma" w:hAnsi="Tahoma" w:cs="Tahoma"/>
          <w:b/>
          <w:bCs/>
          <w:sz w:val="22"/>
          <w:szCs w:val="22"/>
        </w:rPr>
      </w:pPr>
    </w:p>
    <w:p w:rsidR="00986979" w:rsidRPr="00D03FB4" w:rsidRDefault="00986979" w:rsidP="00986979">
      <w:pPr>
        <w:autoSpaceDE w:val="0"/>
        <w:autoSpaceDN w:val="0"/>
        <w:adjustRightInd w:val="0"/>
        <w:spacing w:line="280" w:lineRule="atLeast"/>
        <w:jc w:val="center"/>
        <w:rPr>
          <w:rFonts w:ascii="Tahoma" w:hAnsi="Tahoma" w:cs="Tahoma"/>
          <w:b/>
          <w:bCs/>
          <w:sz w:val="22"/>
          <w:szCs w:val="22"/>
        </w:rPr>
      </w:pPr>
    </w:p>
    <w:sectPr w:rsidR="00986979" w:rsidRPr="00D03FB4" w:rsidSect="007C7DBC">
      <w:headerReference w:type="default" r:id="rId9"/>
      <w:footerReference w:type="default" r:id="rId10"/>
      <w:pgSz w:w="12240" w:h="15840"/>
      <w:pgMar w:top="993" w:right="1800" w:bottom="141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625" w:rsidRDefault="00D87625" w:rsidP="002F7B6C">
      <w:r>
        <w:separator/>
      </w:r>
    </w:p>
  </w:endnote>
  <w:endnote w:type="continuationSeparator" w:id="0">
    <w:p w:rsidR="00D87625" w:rsidRDefault="00D87625"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04488B">
    <w:pPr>
      <w:pStyle w:val="Footer"/>
      <w:jc w:val="right"/>
    </w:pPr>
    <w:r>
      <w:fldChar w:fldCharType="begin"/>
    </w:r>
    <w:r w:rsidR="005C2BD3">
      <w:instrText xml:space="preserve"> PAGE   \* MERGEFORMAT </w:instrText>
    </w:r>
    <w:r>
      <w:fldChar w:fldCharType="separate"/>
    </w:r>
    <w:r w:rsidR="00D87625">
      <w:rPr>
        <w:noProof/>
      </w:rPr>
      <w:t>1</w:t>
    </w:r>
    <w:r>
      <w:rPr>
        <w:noProof/>
      </w:rPr>
      <w:fldChar w:fldCharType="end"/>
    </w:r>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625" w:rsidRDefault="00D87625" w:rsidP="002F7B6C">
      <w:r>
        <w:separator/>
      </w:r>
    </w:p>
  </w:footnote>
  <w:footnote w:type="continuationSeparator" w:id="0">
    <w:p w:rsidR="00D87625" w:rsidRDefault="00D87625"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04488B">
    <w:pPr>
      <w:pStyle w:val="Header"/>
    </w:pPr>
    <w:r>
      <w:rPr>
        <w:noProof/>
        <w:lang w:val="en-ZA" w:eastAsia="en-ZA"/>
      </w:rPr>
      <w:pict>
        <v:rect id="Rectangle 3" o:spid="_x0000_s614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85796F"/>
    <w:multiLevelType w:val="hybridMultilevel"/>
    <w:tmpl w:val="4D787482"/>
    <w:lvl w:ilvl="0" w:tplc="9A564B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3">
    <w:nsid w:val="35675DC9"/>
    <w:multiLevelType w:val="hybridMultilevel"/>
    <w:tmpl w:val="0EF2C5B0"/>
    <w:lvl w:ilvl="0" w:tplc="1C090001">
      <w:start w:val="1"/>
      <w:numFmt w:val="bullet"/>
      <w:lvlText w:val=""/>
      <w:lvlJc w:val="left"/>
      <w:pPr>
        <w:ind w:left="1201" w:hanging="360"/>
      </w:pPr>
      <w:rPr>
        <w:rFonts w:ascii="Symbol" w:hAnsi="Symbol" w:hint="default"/>
      </w:rPr>
    </w:lvl>
    <w:lvl w:ilvl="1" w:tplc="1C090003">
      <w:start w:val="1"/>
      <w:numFmt w:val="bullet"/>
      <w:lvlText w:val="o"/>
      <w:lvlJc w:val="left"/>
      <w:pPr>
        <w:ind w:left="1921" w:hanging="360"/>
      </w:pPr>
      <w:rPr>
        <w:rFonts w:ascii="Courier New" w:hAnsi="Courier New" w:cs="Courier New" w:hint="default"/>
      </w:rPr>
    </w:lvl>
    <w:lvl w:ilvl="2" w:tplc="1C090005" w:tentative="1">
      <w:start w:val="1"/>
      <w:numFmt w:val="bullet"/>
      <w:lvlText w:val=""/>
      <w:lvlJc w:val="left"/>
      <w:pPr>
        <w:ind w:left="2641" w:hanging="360"/>
      </w:pPr>
      <w:rPr>
        <w:rFonts w:ascii="Wingdings" w:hAnsi="Wingdings" w:hint="default"/>
      </w:rPr>
    </w:lvl>
    <w:lvl w:ilvl="3" w:tplc="1C090001" w:tentative="1">
      <w:start w:val="1"/>
      <w:numFmt w:val="bullet"/>
      <w:lvlText w:val=""/>
      <w:lvlJc w:val="left"/>
      <w:pPr>
        <w:ind w:left="3361" w:hanging="360"/>
      </w:pPr>
      <w:rPr>
        <w:rFonts w:ascii="Symbol" w:hAnsi="Symbol" w:hint="default"/>
      </w:rPr>
    </w:lvl>
    <w:lvl w:ilvl="4" w:tplc="1C090003" w:tentative="1">
      <w:start w:val="1"/>
      <w:numFmt w:val="bullet"/>
      <w:lvlText w:val="o"/>
      <w:lvlJc w:val="left"/>
      <w:pPr>
        <w:ind w:left="4081" w:hanging="360"/>
      </w:pPr>
      <w:rPr>
        <w:rFonts w:ascii="Courier New" w:hAnsi="Courier New" w:cs="Courier New" w:hint="default"/>
      </w:rPr>
    </w:lvl>
    <w:lvl w:ilvl="5" w:tplc="1C090005" w:tentative="1">
      <w:start w:val="1"/>
      <w:numFmt w:val="bullet"/>
      <w:lvlText w:val=""/>
      <w:lvlJc w:val="left"/>
      <w:pPr>
        <w:ind w:left="4801" w:hanging="360"/>
      </w:pPr>
      <w:rPr>
        <w:rFonts w:ascii="Wingdings" w:hAnsi="Wingdings" w:hint="default"/>
      </w:rPr>
    </w:lvl>
    <w:lvl w:ilvl="6" w:tplc="1C090001" w:tentative="1">
      <w:start w:val="1"/>
      <w:numFmt w:val="bullet"/>
      <w:lvlText w:val=""/>
      <w:lvlJc w:val="left"/>
      <w:pPr>
        <w:ind w:left="5521" w:hanging="360"/>
      </w:pPr>
      <w:rPr>
        <w:rFonts w:ascii="Symbol" w:hAnsi="Symbol" w:hint="default"/>
      </w:rPr>
    </w:lvl>
    <w:lvl w:ilvl="7" w:tplc="1C090003" w:tentative="1">
      <w:start w:val="1"/>
      <w:numFmt w:val="bullet"/>
      <w:lvlText w:val="o"/>
      <w:lvlJc w:val="left"/>
      <w:pPr>
        <w:ind w:left="6241" w:hanging="360"/>
      </w:pPr>
      <w:rPr>
        <w:rFonts w:ascii="Courier New" w:hAnsi="Courier New" w:cs="Courier New" w:hint="default"/>
      </w:rPr>
    </w:lvl>
    <w:lvl w:ilvl="8" w:tplc="1C090005" w:tentative="1">
      <w:start w:val="1"/>
      <w:numFmt w:val="bullet"/>
      <w:lvlText w:val=""/>
      <w:lvlJc w:val="left"/>
      <w:pPr>
        <w:ind w:left="6961" w:hanging="360"/>
      </w:pPr>
      <w:rPr>
        <w:rFonts w:ascii="Wingdings" w:hAnsi="Wingdings" w:hint="default"/>
      </w:rPr>
    </w:lvl>
  </w:abstractNum>
  <w:abstractNum w:abstractNumId="14">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D306B2"/>
    <w:multiLevelType w:val="hybridMultilevel"/>
    <w:tmpl w:val="42865EEE"/>
    <w:lvl w:ilvl="0" w:tplc="3DD46E02">
      <w:start w:val="1"/>
      <w:numFmt w:val="lowerRoman"/>
      <w:lvlText w:val="%1)"/>
      <w:lvlJc w:val="left"/>
      <w:pPr>
        <w:ind w:left="1592" w:hanging="720"/>
      </w:pPr>
      <w:rPr>
        <w:rFonts w:hint="default"/>
        <w:color w:val="auto"/>
      </w:rPr>
    </w:lvl>
    <w:lvl w:ilvl="1" w:tplc="1C090019">
      <w:start w:val="1"/>
      <w:numFmt w:val="lowerLetter"/>
      <w:lvlText w:val="%2."/>
      <w:lvlJc w:val="left"/>
      <w:pPr>
        <w:ind w:left="1952" w:hanging="360"/>
      </w:pPr>
    </w:lvl>
    <w:lvl w:ilvl="2" w:tplc="1C09001B" w:tentative="1">
      <w:start w:val="1"/>
      <w:numFmt w:val="lowerRoman"/>
      <w:lvlText w:val="%3."/>
      <w:lvlJc w:val="right"/>
      <w:pPr>
        <w:ind w:left="2672" w:hanging="180"/>
      </w:pPr>
    </w:lvl>
    <w:lvl w:ilvl="3" w:tplc="1C09000F" w:tentative="1">
      <w:start w:val="1"/>
      <w:numFmt w:val="decimal"/>
      <w:lvlText w:val="%4."/>
      <w:lvlJc w:val="left"/>
      <w:pPr>
        <w:ind w:left="3392" w:hanging="360"/>
      </w:pPr>
    </w:lvl>
    <w:lvl w:ilvl="4" w:tplc="1C090019" w:tentative="1">
      <w:start w:val="1"/>
      <w:numFmt w:val="lowerLetter"/>
      <w:lvlText w:val="%5."/>
      <w:lvlJc w:val="left"/>
      <w:pPr>
        <w:ind w:left="4112" w:hanging="360"/>
      </w:pPr>
    </w:lvl>
    <w:lvl w:ilvl="5" w:tplc="1C09001B" w:tentative="1">
      <w:start w:val="1"/>
      <w:numFmt w:val="lowerRoman"/>
      <w:lvlText w:val="%6."/>
      <w:lvlJc w:val="right"/>
      <w:pPr>
        <w:ind w:left="4832" w:hanging="180"/>
      </w:pPr>
    </w:lvl>
    <w:lvl w:ilvl="6" w:tplc="1C09000F" w:tentative="1">
      <w:start w:val="1"/>
      <w:numFmt w:val="decimal"/>
      <w:lvlText w:val="%7."/>
      <w:lvlJc w:val="left"/>
      <w:pPr>
        <w:ind w:left="5552" w:hanging="360"/>
      </w:pPr>
    </w:lvl>
    <w:lvl w:ilvl="7" w:tplc="1C090019" w:tentative="1">
      <w:start w:val="1"/>
      <w:numFmt w:val="lowerLetter"/>
      <w:lvlText w:val="%8."/>
      <w:lvlJc w:val="left"/>
      <w:pPr>
        <w:ind w:left="6272" w:hanging="360"/>
      </w:pPr>
    </w:lvl>
    <w:lvl w:ilvl="8" w:tplc="1C09001B" w:tentative="1">
      <w:start w:val="1"/>
      <w:numFmt w:val="lowerRoman"/>
      <w:lvlText w:val="%9."/>
      <w:lvlJc w:val="right"/>
      <w:pPr>
        <w:ind w:left="6992" w:hanging="180"/>
      </w:pPr>
    </w:lvl>
  </w:abstractNum>
  <w:abstractNum w:abstractNumId="16">
    <w:nsid w:val="3B8804A8"/>
    <w:multiLevelType w:val="hybridMultilevel"/>
    <w:tmpl w:val="F6D4E086"/>
    <w:lvl w:ilvl="0" w:tplc="A69413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4">
    <w:nsid w:val="4C1224BC"/>
    <w:multiLevelType w:val="hybridMultilevel"/>
    <w:tmpl w:val="0ADCDA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pStyle w:val="LegalList2"/>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8">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F413F2"/>
    <w:multiLevelType w:val="hybridMultilevel"/>
    <w:tmpl w:val="991A19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2EB0B95"/>
    <w:multiLevelType w:val="hybridMultilevel"/>
    <w:tmpl w:val="DCD8C572"/>
    <w:lvl w:ilvl="0" w:tplc="148C882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40A3007"/>
    <w:multiLevelType w:val="hybridMultilevel"/>
    <w:tmpl w:val="A76A2BA4"/>
    <w:lvl w:ilvl="0" w:tplc="A74A5F9A">
      <w:start w:val="1"/>
      <w:numFmt w:val="decimal"/>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3">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6"/>
  </w:num>
  <w:num w:numId="2">
    <w:abstractNumId w:val="2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11"/>
  </w:num>
  <w:num w:numId="10">
    <w:abstractNumId w:val="1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22"/>
  </w:num>
  <w:num w:numId="16">
    <w:abstractNumId w:val="7"/>
  </w:num>
  <w:num w:numId="17">
    <w:abstractNumId w:val="12"/>
  </w:num>
  <w:num w:numId="18">
    <w:abstractNumId w:val="34"/>
  </w:num>
  <w:num w:numId="19">
    <w:abstractNumId w:val="27"/>
  </w:num>
  <w:num w:numId="20">
    <w:abstractNumId w:val="9"/>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1"/>
  </w:num>
  <w:num w:numId="26">
    <w:abstractNumId w:val="5"/>
  </w:num>
  <w:num w:numId="27">
    <w:abstractNumId w:val="33"/>
  </w:num>
  <w:num w:numId="28">
    <w:abstractNumId w:val="0"/>
  </w:num>
  <w:num w:numId="29">
    <w:abstractNumId w:val="30"/>
  </w:num>
  <w:num w:numId="30">
    <w:abstractNumId w:val="15"/>
  </w:num>
  <w:num w:numId="31">
    <w:abstractNumId w:val="31"/>
  </w:num>
  <w:num w:numId="32">
    <w:abstractNumId w:val="16"/>
  </w:num>
  <w:num w:numId="33">
    <w:abstractNumId w:val="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7170"/>
    <o:shapelayout v:ext="edit">
      <o:idmap v:ext="edit" data="6"/>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4488B"/>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06276"/>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0282"/>
    <w:rsid w:val="001C5D73"/>
    <w:rsid w:val="001D6636"/>
    <w:rsid w:val="001D6AD9"/>
    <w:rsid w:val="001E36FF"/>
    <w:rsid w:val="001E4674"/>
    <w:rsid w:val="001F68BA"/>
    <w:rsid w:val="001F7AB9"/>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B5729"/>
    <w:rsid w:val="002C183F"/>
    <w:rsid w:val="002C219A"/>
    <w:rsid w:val="002C356F"/>
    <w:rsid w:val="002D456B"/>
    <w:rsid w:val="002D70A6"/>
    <w:rsid w:val="002E237E"/>
    <w:rsid w:val="002E2DEB"/>
    <w:rsid w:val="002F0A76"/>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3F65A0"/>
    <w:rsid w:val="0041162A"/>
    <w:rsid w:val="004140E1"/>
    <w:rsid w:val="00421E67"/>
    <w:rsid w:val="004278AA"/>
    <w:rsid w:val="00470635"/>
    <w:rsid w:val="00471395"/>
    <w:rsid w:val="00485879"/>
    <w:rsid w:val="004A79CE"/>
    <w:rsid w:val="004B613E"/>
    <w:rsid w:val="004C4CB3"/>
    <w:rsid w:val="004C5539"/>
    <w:rsid w:val="004D461D"/>
    <w:rsid w:val="004D772A"/>
    <w:rsid w:val="004E1FD7"/>
    <w:rsid w:val="004E3AE1"/>
    <w:rsid w:val="004E67F5"/>
    <w:rsid w:val="004F6922"/>
    <w:rsid w:val="005007A5"/>
    <w:rsid w:val="00501ED3"/>
    <w:rsid w:val="005047F1"/>
    <w:rsid w:val="00514763"/>
    <w:rsid w:val="005240E0"/>
    <w:rsid w:val="00530AF1"/>
    <w:rsid w:val="00540B50"/>
    <w:rsid w:val="00543405"/>
    <w:rsid w:val="00543F78"/>
    <w:rsid w:val="0054476C"/>
    <w:rsid w:val="005475F8"/>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02E9A"/>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47D39"/>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C7DBC"/>
    <w:rsid w:val="007D3B93"/>
    <w:rsid w:val="007D51A4"/>
    <w:rsid w:val="007D5303"/>
    <w:rsid w:val="007E303E"/>
    <w:rsid w:val="007E573D"/>
    <w:rsid w:val="007E662D"/>
    <w:rsid w:val="007F06CF"/>
    <w:rsid w:val="007F5018"/>
    <w:rsid w:val="0080057F"/>
    <w:rsid w:val="00807B05"/>
    <w:rsid w:val="008143D9"/>
    <w:rsid w:val="00836F90"/>
    <w:rsid w:val="00841E05"/>
    <w:rsid w:val="00852FB0"/>
    <w:rsid w:val="00857EE2"/>
    <w:rsid w:val="008617C6"/>
    <w:rsid w:val="0087180B"/>
    <w:rsid w:val="00881CA9"/>
    <w:rsid w:val="0088432F"/>
    <w:rsid w:val="008858C0"/>
    <w:rsid w:val="00887984"/>
    <w:rsid w:val="00892651"/>
    <w:rsid w:val="008933BF"/>
    <w:rsid w:val="008971B8"/>
    <w:rsid w:val="008A124E"/>
    <w:rsid w:val="008A25CE"/>
    <w:rsid w:val="008A602E"/>
    <w:rsid w:val="008E0C4E"/>
    <w:rsid w:val="008E17D4"/>
    <w:rsid w:val="008F31BE"/>
    <w:rsid w:val="008F4E54"/>
    <w:rsid w:val="008F620E"/>
    <w:rsid w:val="008F7C84"/>
    <w:rsid w:val="00900509"/>
    <w:rsid w:val="009101EB"/>
    <w:rsid w:val="00933A9C"/>
    <w:rsid w:val="00942BB9"/>
    <w:rsid w:val="00947690"/>
    <w:rsid w:val="0095093B"/>
    <w:rsid w:val="00956CC7"/>
    <w:rsid w:val="0097033F"/>
    <w:rsid w:val="00975C64"/>
    <w:rsid w:val="00983134"/>
    <w:rsid w:val="00983745"/>
    <w:rsid w:val="00986979"/>
    <w:rsid w:val="009B001C"/>
    <w:rsid w:val="009B4CF2"/>
    <w:rsid w:val="009B7F8A"/>
    <w:rsid w:val="009C60BB"/>
    <w:rsid w:val="009D0942"/>
    <w:rsid w:val="009D3ED9"/>
    <w:rsid w:val="009E08C0"/>
    <w:rsid w:val="009E4929"/>
    <w:rsid w:val="009F5322"/>
    <w:rsid w:val="009F6CDC"/>
    <w:rsid w:val="00A10673"/>
    <w:rsid w:val="00A11F37"/>
    <w:rsid w:val="00A13546"/>
    <w:rsid w:val="00A1552C"/>
    <w:rsid w:val="00A1773E"/>
    <w:rsid w:val="00A22CA5"/>
    <w:rsid w:val="00A2549F"/>
    <w:rsid w:val="00A33EC8"/>
    <w:rsid w:val="00A46FB4"/>
    <w:rsid w:val="00A53C41"/>
    <w:rsid w:val="00A61DC4"/>
    <w:rsid w:val="00A63EEE"/>
    <w:rsid w:val="00A675CD"/>
    <w:rsid w:val="00A71193"/>
    <w:rsid w:val="00A82983"/>
    <w:rsid w:val="00A9094F"/>
    <w:rsid w:val="00A940D5"/>
    <w:rsid w:val="00A96A47"/>
    <w:rsid w:val="00AA2FC2"/>
    <w:rsid w:val="00AA7362"/>
    <w:rsid w:val="00AB1C3D"/>
    <w:rsid w:val="00AB244B"/>
    <w:rsid w:val="00AC40F3"/>
    <w:rsid w:val="00AD1830"/>
    <w:rsid w:val="00AD6E0F"/>
    <w:rsid w:val="00AE041D"/>
    <w:rsid w:val="00AE22E4"/>
    <w:rsid w:val="00B06002"/>
    <w:rsid w:val="00B06F1A"/>
    <w:rsid w:val="00B10FBD"/>
    <w:rsid w:val="00B21B4E"/>
    <w:rsid w:val="00B32686"/>
    <w:rsid w:val="00B4224B"/>
    <w:rsid w:val="00B44ACF"/>
    <w:rsid w:val="00B52D1A"/>
    <w:rsid w:val="00B64C51"/>
    <w:rsid w:val="00B65996"/>
    <w:rsid w:val="00B84C5C"/>
    <w:rsid w:val="00B91B50"/>
    <w:rsid w:val="00B95821"/>
    <w:rsid w:val="00B977DB"/>
    <w:rsid w:val="00BC2946"/>
    <w:rsid w:val="00BC46C6"/>
    <w:rsid w:val="00BC54B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7F7A"/>
    <w:rsid w:val="00C9463B"/>
    <w:rsid w:val="00C95BA0"/>
    <w:rsid w:val="00CA19BA"/>
    <w:rsid w:val="00CB1EE9"/>
    <w:rsid w:val="00CB2028"/>
    <w:rsid w:val="00CB5861"/>
    <w:rsid w:val="00CB5C46"/>
    <w:rsid w:val="00CB74D7"/>
    <w:rsid w:val="00CD4820"/>
    <w:rsid w:val="00CD75C7"/>
    <w:rsid w:val="00CE514E"/>
    <w:rsid w:val="00CE6D28"/>
    <w:rsid w:val="00CF5106"/>
    <w:rsid w:val="00CF5D4B"/>
    <w:rsid w:val="00D042B8"/>
    <w:rsid w:val="00D1161C"/>
    <w:rsid w:val="00D15DA1"/>
    <w:rsid w:val="00D25608"/>
    <w:rsid w:val="00D25ED9"/>
    <w:rsid w:val="00D301BD"/>
    <w:rsid w:val="00D37BD8"/>
    <w:rsid w:val="00D45318"/>
    <w:rsid w:val="00D4715B"/>
    <w:rsid w:val="00D71D6C"/>
    <w:rsid w:val="00D722CA"/>
    <w:rsid w:val="00D72332"/>
    <w:rsid w:val="00D72B16"/>
    <w:rsid w:val="00D76304"/>
    <w:rsid w:val="00D80097"/>
    <w:rsid w:val="00D805A3"/>
    <w:rsid w:val="00D81318"/>
    <w:rsid w:val="00D81CD0"/>
    <w:rsid w:val="00D87625"/>
    <w:rsid w:val="00D9141D"/>
    <w:rsid w:val="00D960C4"/>
    <w:rsid w:val="00DA33E4"/>
    <w:rsid w:val="00DA61B8"/>
    <w:rsid w:val="00DB00DD"/>
    <w:rsid w:val="00DB1C4C"/>
    <w:rsid w:val="00DB2624"/>
    <w:rsid w:val="00DB2FD8"/>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25204"/>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D3EA7"/>
    <w:rsid w:val="00EE1975"/>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xmsonormal">
    <w:name w:val="x_msonormal"/>
    <w:basedOn w:val="Normal"/>
    <w:rsid w:val="00DB2FD8"/>
    <w:rPr>
      <w:rFonts w:ascii="Calibri" w:eastAsia="Calibri" w:hAnsi="Calibri" w:cs="Calibri"/>
      <w:sz w:val="22"/>
      <w:szCs w:val="22"/>
      <w:lang w:val="en-ZA" w:eastAsia="en-GB"/>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0BC0-492C-4AB8-8906-8DC7AD78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3963</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2021-03-08T08:44:00Z</cp:lastPrinted>
  <dcterms:created xsi:type="dcterms:W3CDTF">2021-10-12T11:38:00Z</dcterms:created>
  <dcterms:modified xsi:type="dcterms:W3CDTF">2021-10-12T11:38:00Z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000000001F3D1D8CC9D05343990E74F295AAAC750700672B5AFA0B7D954B856EE479C555A8BB007A6F9F00120000DF71BCFC189CD34D8EB2234FD987A32D0001C48B80420000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0000000038A1BB1005E5101AA1BB08002B2A56C20000454D534D44422E444C4C00000000000000001B55FA20AA6611CD9BC800AA002FC45A0C0000004E6F6E686C616E686C612E4D6F6B6F656E61406470652E676F762E7A61002F6F3D4450452F6F753D46697273742041646D696E6973747261746976652047726F75702F6</vt:lpwstr>
  </property>
  <property fmtid="{D5CDD505-2E9C-101B-9397-08002B2CF9AE}" pid="8" name="_EmailStoreID1">
    <vt:lpwstr>36E3D526563697069656E74732F636E3D4D6F6B6F656E614E00E94632F44E00000002000000100000004E006F006E0068006C0061006E0068006C0061002E004D006F006B006F0065006E00610040006400700065002E0067006F0076002E007A00610000000000</vt:lpwstr>
  </property>
  <property fmtid="{D5CDD505-2E9C-101B-9397-08002B2CF9AE}" pid="9" name="_ReviewingToolsShownOnce">
    <vt:lpwstr/>
  </property>
</Properties>
</file>