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7A" w:rsidRDefault="007B677A" w:rsidP="007B677A">
      <w:pPr>
        <w:jc w:val="center"/>
        <w:rPr>
          <w:rFonts w:ascii="Arial" w:hAnsi="Arial" w:cs="Arial"/>
          <w:sz w:val="16"/>
          <w:szCs w:val="16"/>
        </w:rPr>
      </w:pPr>
    </w:p>
    <w:p w:rsidR="007B677A" w:rsidRDefault="007B677A" w:rsidP="007B677A">
      <w:pPr>
        <w:jc w:val="center"/>
        <w:rPr>
          <w:rFonts w:ascii="Arial" w:hAnsi="Arial" w:cs="Arial"/>
          <w:sz w:val="16"/>
          <w:szCs w:val="16"/>
        </w:rPr>
      </w:pPr>
    </w:p>
    <w:p w:rsidR="007B677A" w:rsidRDefault="007B677A" w:rsidP="007B677A">
      <w:pPr>
        <w:jc w:val="center"/>
        <w:rPr>
          <w:rFonts w:ascii="Arial" w:hAnsi="Arial" w:cs="Arial"/>
          <w:sz w:val="16"/>
          <w:szCs w:val="16"/>
        </w:rPr>
      </w:pPr>
      <w:r w:rsidRPr="00D27A1C">
        <w:rPr>
          <w:noProof/>
          <w:lang w:val="en-ZA" w:eastAsia="en-ZA"/>
        </w:rPr>
        <w:drawing>
          <wp:inline distT="0" distB="0" distL="0" distR="0">
            <wp:extent cx="2426335" cy="1511935"/>
            <wp:effectExtent l="0" t="0" r="0"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1511935"/>
                    </a:xfrm>
                    <a:prstGeom prst="rect">
                      <a:avLst/>
                    </a:prstGeom>
                    <a:noFill/>
                    <a:ln>
                      <a:noFill/>
                    </a:ln>
                  </pic:spPr>
                </pic:pic>
              </a:graphicData>
            </a:graphic>
          </wp:inline>
        </w:drawing>
      </w:r>
    </w:p>
    <w:p w:rsidR="007B677A" w:rsidRDefault="007B677A" w:rsidP="007B677A">
      <w:pPr>
        <w:jc w:val="center"/>
        <w:rPr>
          <w:rFonts w:ascii="Arial" w:hAnsi="Arial" w:cs="Arial"/>
          <w:sz w:val="16"/>
          <w:szCs w:val="16"/>
        </w:rPr>
      </w:pPr>
    </w:p>
    <w:p w:rsidR="007B677A" w:rsidRPr="00740B88" w:rsidRDefault="007B677A" w:rsidP="007B677A">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7B677A" w:rsidRDefault="007B677A" w:rsidP="007B677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Pr>
          <w:rFonts w:ascii="Arial" w:hAnsi="Arial" w:cs="Arial"/>
          <w:sz w:val="16"/>
          <w:szCs w:val="16"/>
        </w:rPr>
        <w:t>9 5150, Fax: (021) 465</w:t>
      </w:r>
      <w:r w:rsidRPr="00740B88">
        <w:rPr>
          <w:rFonts w:ascii="Arial" w:hAnsi="Arial" w:cs="Arial"/>
          <w:sz w:val="16"/>
          <w:szCs w:val="16"/>
        </w:rPr>
        <w:t xml:space="preserve"> </w:t>
      </w:r>
      <w:r>
        <w:rPr>
          <w:rFonts w:ascii="Arial" w:hAnsi="Arial" w:cs="Arial"/>
          <w:sz w:val="16"/>
          <w:szCs w:val="16"/>
        </w:rPr>
        <w:t>7956</w:t>
      </w:r>
    </w:p>
    <w:p w:rsidR="007B677A" w:rsidRPr="00DA373A" w:rsidRDefault="007B677A" w:rsidP="007B677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Cs w:val="24"/>
          <w:lang w:val="en-ZA"/>
        </w:rPr>
      </w:pPr>
      <w:r w:rsidRPr="00932725">
        <w:rPr>
          <w:rFonts w:cs="Arial"/>
          <w:b/>
          <w:bCs/>
          <w:sz w:val="24"/>
          <w:szCs w:val="24"/>
          <w:lang w:val="en-ZA"/>
        </w:rPr>
        <w:tab/>
      </w:r>
      <w:r w:rsidRPr="00DA373A">
        <w:rPr>
          <w:rFonts w:ascii="Arial" w:hAnsi="Arial" w:cs="Arial"/>
          <w:b/>
          <w:bCs/>
          <w:szCs w:val="24"/>
          <w:lang w:val="en-ZA"/>
        </w:rPr>
        <w:t>Memorandum from the Parliamentary Office</w:t>
      </w:r>
      <w:r w:rsidRPr="00DA373A">
        <w:rPr>
          <w:rFonts w:ascii="Arial" w:hAnsi="Arial" w:cs="Arial"/>
          <w:b/>
          <w:bCs/>
          <w:szCs w:val="24"/>
          <w:lang w:val="en-ZA"/>
        </w:rPr>
        <w:tab/>
      </w:r>
      <w:r w:rsidRPr="00DA373A">
        <w:rPr>
          <w:rFonts w:ascii="Arial" w:hAnsi="Arial" w:cs="Arial"/>
          <w:b/>
          <w:bCs/>
          <w:szCs w:val="24"/>
          <w:lang w:val="en-ZA"/>
        </w:rPr>
        <w:tab/>
      </w:r>
      <w:r w:rsidRPr="00DA373A">
        <w:rPr>
          <w:rFonts w:ascii="Arial" w:hAnsi="Arial" w:cs="Arial"/>
          <w:b/>
          <w:bCs/>
          <w:szCs w:val="24"/>
          <w:lang w:val="en-ZA"/>
        </w:rPr>
        <w:tab/>
      </w:r>
      <w:r w:rsidRPr="00DA373A">
        <w:rPr>
          <w:rFonts w:ascii="Arial" w:hAnsi="Arial" w:cs="Arial"/>
          <w:b/>
          <w:bCs/>
          <w:szCs w:val="24"/>
          <w:lang w:val="en-ZA"/>
        </w:rPr>
        <w:tab/>
      </w:r>
    </w:p>
    <w:p w:rsidR="007B677A" w:rsidRPr="003C5A76" w:rsidRDefault="007B677A" w:rsidP="007B677A">
      <w:pPr>
        <w:jc w:val="center"/>
        <w:rPr>
          <w:rFonts w:ascii="Arial" w:hAnsi="Arial" w:cs="Arial"/>
          <w:b/>
          <w:bCs/>
        </w:rPr>
      </w:pPr>
      <w:r>
        <w:rPr>
          <w:rFonts w:ascii="Arial" w:hAnsi="Arial" w:cs="Arial"/>
          <w:b/>
          <w:bCs/>
          <w:lang w:val="en-ZA"/>
        </w:rPr>
        <w:t>NATIONAL ASSEMBLY</w:t>
      </w:r>
    </w:p>
    <w:p w:rsidR="007B677A" w:rsidRPr="003C5A76" w:rsidRDefault="007B677A" w:rsidP="007B677A">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7B677A" w:rsidRPr="003C5A76" w:rsidRDefault="007B677A" w:rsidP="007B677A">
      <w:pPr>
        <w:jc w:val="center"/>
        <w:rPr>
          <w:rFonts w:ascii="Arial" w:hAnsi="Arial" w:cs="Arial"/>
          <w:b/>
          <w:bCs/>
        </w:rPr>
      </w:pPr>
      <w:r w:rsidRPr="003C5A76">
        <w:rPr>
          <w:rFonts w:ascii="Arial" w:hAnsi="Arial" w:cs="Arial"/>
          <w:b/>
          <w:bCs/>
        </w:rPr>
        <w:t xml:space="preserve">QUESTION </w:t>
      </w:r>
      <w:r>
        <w:rPr>
          <w:rFonts w:ascii="Arial" w:hAnsi="Arial" w:cs="Arial"/>
          <w:b/>
          <w:bCs/>
        </w:rPr>
        <w:t>1893</w:t>
      </w:r>
    </w:p>
    <w:p w:rsidR="007B677A" w:rsidRPr="003C5A76" w:rsidRDefault="007B677A" w:rsidP="007B677A">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23/06/2017</w:t>
      </w:r>
    </w:p>
    <w:p w:rsidR="007B677A" w:rsidRDefault="007B677A" w:rsidP="007B677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23 OF 2017</w:t>
      </w:r>
      <w:r w:rsidRPr="003C5A76">
        <w:rPr>
          <w:rFonts w:ascii="Arial" w:hAnsi="Arial" w:cs="Arial"/>
          <w:b/>
          <w:bCs/>
          <w:u w:val="single"/>
        </w:rPr>
        <w:t>)</w:t>
      </w:r>
    </w:p>
    <w:p w:rsidR="007B677A" w:rsidRDefault="007B677A" w:rsidP="007B677A">
      <w:pPr>
        <w:spacing w:before="100" w:beforeAutospacing="1" w:after="100" w:afterAutospacing="1"/>
        <w:jc w:val="center"/>
        <w:outlineLvl w:val="0"/>
        <w:rPr>
          <w:rFonts w:ascii="Arial" w:hAnsi="Arial" w:cs="Arial"/>
          <w:b/>
          <w:bCs/>
          <w:u w:val="single"/>
        </w:rPr>
      </w:pPr>
    </w:p>
    <w:p w:rsidR="007B677A" w:rsidRPr="00D36E17" w:rsidRDefault="007B677A" w:rsidP="00D36E17">
      <w:pPr>
        <w:spacing w:line="360" w:lineRule="auto"/>
        <w:ind w:left="816" w:hanging="816"/>
        <w:jc w:val="both"/>
        <w:rPr>
          <w:rFonts w:ascii="Arial" w:hAnsi="Arial" w:cs="Arial"/>
        </w:rPr>
      </w:pPr>
      <w:r w:rsidRPr="00D36E17">
        <w:rPr>
          <w:rFonts w:ascii="Arial" w:hAnsi="Arial" w:cs="Arial"/>
          <w:b/>
        </w:rPr>
        <w:t xml:space="preserve">Mr M S Mbatha (EFF) to ask the Minister of Higher Education and </w:t>
      </w:r>
      <w:r w:rsidRPr="00D36E17">
        <w:rPr>
          <w:rFonts w:ascii="Arial" w:hAnsi="Arial" w:cs="Arial"/>
          <w:b/>
          <w:lang w:val="af-ZA"/>
        </w:rPr>
        <w:t>Training</w:t>
      </w:r>
      <w:r w:rsidRPr="00D36E17">
        <w:rPr>
          <w:rFonts w:ascii="Arial" w:hAnsi="Arial" w:cs="Arial"/>
          <w:b/>
        </w:rPr>
        <w:t>:</w:t>
      </w:r>
    </w:p>
    <w:p w:rsidR="007B677A" w:rsidRPr="00D36E17" w:rsidRDefault="007B677A" w:rsidP="00D36E17">
      <w:pPr>
        <w:spacing w:line="360" w:lineRule="auto"/>
        <w:jc w:val="both"/>
        <w:rPr>
          <w:rFonts w:ascii="Arial" w:hAnsi="Arial" w:cs="Arial"/>
        </w:rPr>
      </w:pPr>
      <w:r w:rsidRPr="00D36E17">
        <w:rPr>
          <w:rFonts w:ascii="Arial" w:hAnsi="Arial" w:cs="Arial"/>
        </w:rPr>
        <w:t>Whether (a) his department and (b) each entity reporting to him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D36E17">
        <w:rPr>
          <w:rFonts w:ascii="Arial" w:hAnsi="Arial" w:cs="Arial"/>
        </w:rPr>
        <w:tab/>
      </w:r>
      <w:r w:rsidRPr="00D36E17">
        <w:rPr>
          <w:rFonts w:ascii="Arial" w:hAnsi="Arial" w:cs="Arial"/>
        </w:rPr>
        <w:tab/>
      </w:r>
      <w:r w:rsidRPr="00D36E17">
        <w:rPr>
          <w:rFonts w:ascii="Arial" w:hAnsi="Arial" w:cs="Arial"/>
        </w:rPr>
        <w:tab/>
      </w:r>
      <w:r w:rsidRPr="00D36E17">
        <w:rPr>
          <w:rFonts w:ascii="Arial" w:hAnsi="Arial" w:cs="Arial"/>
        </w:rPr>
        <w:tab/>
      </w:r>
    </w:p>
    <w:p w:rsidR="007B677A" w:rsidRPr="00D36E17" w:rsidRDefault="007B677A" w:rsidP="00D36E17">
      <w:pPr>
        <w:spacing w:line="360" w:lineRule="auto"/>
        <w:jc w:val="right"/>
        <w:rPr>
          <w:rFonts w:ascii="Arial" w:hAnsi="Arial" w:cs="Arial"/>
          <w:b/>
          <w:sz w:val="20"/>
        </w:rPr>
      </w:pPr>
      <w:r w:rsidRPr="00D36E17">
        <w:rPr>
          <w:rFonts w:ascii="Arial" w:hAnsi="Arial" w:cs="Arial"/>
          <w:b/>
          <w:sz w:val="20"/>
        </w:rPr>
        <w:t>NW2105E</w:t>
      </w:r>
    </w:p>
    <w:p w:rsidR="007B677A" w:rsidRPr="00D36E17" w:rsidRDefault="007B677A" w:rsidP="00D36E17">
      <w:pPr>
        <w:spacing w:line="360" w:lineRule="auto"/>
        <w:jc w:val="both"/>
        <w:rPr>
          <w:rFonts w:ascii="Arial" w:hAnsi="Arial" w:cs="Arial"/>
          <w:b/>
          <w:lang w:val="en-ZA"/>
        </w:rPr>
      </w:pPr>
    </w:p>
    <w:p w:rsidR="007B677A" w:rsidRPr="00D36E17" w:rsidRDefault="007B677A" w:rsidP="00D36E17">
      <w:pPr>
        <w:spacing w:line="360" w:lineRule="auto"/>
        <w:jc w:val="both"/>
        <w:rPr>
          <w:rFonts w:ascii="Arial" w:hAnsi="Arial" w:cs="Arial"/>
          <w:b/>
          <w:lang w:val="en-ZA"/>
        </w:rPr>
      </w:pPr>
      <w:r w:rsidRPr="00D36E17">
        <w:rPr>
          <w:rFonts w:ascii="Arial" w:hAnsi="Arial" w:cs="Arial"/>
          <w:b/>
          <w:lang w:val="en-ZA"/>
        </w:rPr>
        <w:br w:type="page"/>
      </w:r>
      <w:r w:rsidRPr="00D36E17">
        <w:rPr>
          <w:rFonts w:ascii="Arial" w:hAnsi="Arial" w:cs="Arial"/>
          <w:b/>
          <w:lang w:val="en-ZA"/>
        </w:rPr>
        <w:lastRenderedPageBreak/>
        <w:t>REPLY</w:t>
      </w:r>
    </w:p>
    <w:p w:rsidR="00CD08D8" w:rsidRDefault="00CD08D8" w:rsidP="00CD08D8">
      <w:pPr>
        <w:pStyle w:val="ListParagraph"/>
        <w:numPr>
          <w:ilvl w:val="0"/>
          <w:numId w:val="6"/>
        </w:numPr>
        <w:tabs>
          <w:tab w:val="left" w:pos="426"/>
        </w:tabs>
        <w:spacing w:line="360" w:lineRule="auto"/>
        <w:ind w:left="851" w:hanging="851"/>
        <w:contextualSpacing w:val="0"/>
        <w:jc w:val="both"/>
        <w:rPr>
          <w:rFonts w:ascii="Arial" w:hAnsi="Arial" w:cs="Arial"/>
        </w:rPr>
      </w:pPr>
      <w:r>
        <w:rPr>
          <w:rFonts w:ascii="Arial" w:hAnsi="Arial" w:cs="Arial"/>
        </w:rPr>
        <w:t xml:space="preserve">(i) </w:t>
      </w:r>
      <w:r>
        <w:rPr>
          <w:rFonts w:ascii="Arial" w:hAnsi="Arial" w:cs="Arial"/>
        </w:rPr>
        <w:tab/>
      </w:r>
      <w:r w:rsidR="007B677A" w:rsidRPr="00CD08D8">
        <w:rPr>
          <w:rFonts w:ascii="Arial" w:hAnsi="Arial" w:cs="Arial"/>
        </w:rPr>
        <w:t>Maya Group (</w:t>
      </w:r>
      <w:r w:rsidRPr="00CD08D8">
        <w:rPr>
          <w:rFonts w:ascii="Arial" w:hAnsi="Arial" w:cs="Arial"/>
        </w:rPr>
        <w:t>A c</w:t>
      </w:r>
      <w:r w:rsidR="007B677A" w:rsidRPr="00CD08D8">
        <w:rPr>
          <w:rFonts w:ascii="Arial" w:hAnsi="Arial" w:cs="Arial"/>
        </w:rPr>
        <w:t>onsortium of financial, technical and legal advisors)</w:t>
      </w:r>
      <w:r w:rsidRPr="00CD08D8">
        <w:rPr>
          <w:rFonts w:ascii="Arial" w:hAnsi="Arial" w:cs="Arial"/>
        </w:rPr>
        <w:t>.</w:t>
      </w:r>
    </w:p>
    <w:p w:rsidR="00CD08D8" w:rsidRDefault="007B677A" w:rsidP="00CD08D8">
      <w:pPr>
        <w:pStyle w:val="ListParagraph"/>
        <w:numPr>
          <w:ilvl w:val="0"/>
          <w:numId w:val="7"/>
        </w:numPr>
        <w:spacing w:line="360" w:lineRule="auto"/>
        <w:ind w:left="851" w:hanging="425"/>
        <w:contextualSpacing w:val="0"/>
        <w:jc w:val="both"/>
        <w:rPr>
          <w:rFonts w:ascii="Arial" w:hAnsi="Arial" w:cs="Arial"/>
        </w:rPr>
      </w:pPr>
      <w:r w:rsidRPr="00CD08D8">
        <w:rPr>
          <w:rFonts w:ascii="Arial" w:hAnsi="Arial" w:cs="Arial"/>
        </w:rPr>
        <w:t>Maya Group Transaction Advisors</w:t>
      </w:r>
      <w:r w:rsidR="00D14329" w:rsidRPr="00CD08D8">
        <w:rPr>
          <w:rFonts w:ascii="Arial" w:hAnsi="Arial" w:cs="Arial"/>
        </w:rPr>
        <w:t xml:space="preserve"> </w:t>
      </w:r>
      <w:r w:rsidRPr="00CD08D8">
        <w:rPr>
          <w:rFonts w:ascii="Arial" w:hAnsi="Arial" w:cs="Arial"/>
        </w:rPr>
        <w:t xml:space="preserve">were not appointed for a specific tender but to </w:t>
      </w:r>
      <w:r w:rsidR="00D14329" w:rsidRPr="00CD08D8">
        <w:rPr>
          <w:rFonts w:ascii="Arial" w:hAnsi="Arial" w:cs="Arial"/>
        </w:rPr>
        <w:t xml:space="preserve">conduct </w:t>
      </w:r>
      <w:r w:rsidRPr="00CD08D8">
        <w:rPr>
          <w:rFonts w:ascii="Arial" w:hAnsi="Arial" w:cs="Arial"/>
        </w:rPr>
        <w:t>feasibility studies for the provision of student housing at five universities and one T</w:t>
      </w:r>
      <w:r w:rsidR="00D36E17" w:rsidRPr="00CD08D8">
        <w:rPr>
          <w:rFonts w:ascii="Arial" w:hAnsi="Arial" w:cs="Arial"/>
        </w:rPr>
        <w:t>echnical and Voca</w:t>
      </w:r>
      <w:r w:rsidR="00851375">
        <w:rPr>
          <w:rFonts w:ascii="Arial" w:hAnsi="Arial" w:cs="Arial"/>
        </w:rPr>
        <w:t xml:space="preserve">tional Education and Training </w:t>
      </w:r>
      <w:r w:rsidR="00CD08D8" w:rsidRPr="00CD08D8">
        <w:rPr>
          <w:rFonts w:ascii="Arial" w:hAnsi="Arial" w:cs="Arial"/>
        </w:rPr>
        <w:t>c</w:t>
      </w:r>
      <w:r w:rsidRPr="00CD08D8">
        <w:rPr>
          <w:rFonts w:ascii="Arial" w:hAnsi="Arial" w:cs="Arial"/>
        </w:rPr>
        <w:t xml:space="preserve">ollege. </w:t>
      </w:r>
    </w:p>
    <w:p w:rsidR="007B677A" w:rsidRPr="00CD08D8" w:rsidRDefault="00CD08D8" w:rsidP="00CD08D8">
      <w:pPr>
        <w:pStyle w:val="ListParagraph"/>
        <w:numPr>
          <w:ilvl w:val="0"/>
          <w:numId w:val="7"/>
        </w:numPr>
        <w:spacing w:line="360" w:lineRule="auto"/>
        <w:ind w:left="851" w:hanging="425"/>
        <w:jc w:val="both"/>
        <w:rPr>
          <w:rFonts w:ascii="Arial" w:hAnsi="Arial" w:cs="Arial"/>
        </w:rPr>
      </w:pPr>
      <w:r w:rsidRPr="00CD08D8">
        <w:rPr>
          <w:rFonts w:ascii="Arial" w:hAnsi="Arial" w:cs="Arial"/>
        </w:rPr>
        <w:t xml:space="preserve">R30 million was funded by the European Union’s Infrastructure Investment Programme for South Africa and R3 million from the National Skills Fund. To date, </w:t>
      </w:r>
      <w:r w:rsidR="007B677A" w:rsidRPr="00CD08D8">
        <w:rPr>
          <w:rFonts w:ascii="Arial" w:hAnsi="Arial" w:cs="Arial"/>
        </w:rPr>
        <w:t xml:space="preserve">R14 253 301.19 has been </w:t>
      </w:r>
      <w:r w:rsidRPr="00CD08D8">
        <w:rPr>
          <w:rFonts w:ascii="Arial" w:hAnsi="Arial" w:cs="Arial"/>
        </w:rPr>
        <w:t xml:space="preserve">disbursed to the </w:t>
      </w:r>
      <w:r w:rsidR="00851375">
        <w:rPr>
          <w:rFonts w:ascii="Arial" w:hAnsi="Arial" w:cs="Arial"/>
        </w:rPr>
        <w:t>transaction a</w:t>
      </w:r>
      <w:r w:rsidRPr="00CD08D8">
        <w:rPr>
          <w:rFonts w:ascii="Arial" w:hAnsi="Arial" w:cs="Arial"/>
        </w:rPr>
        <w:t>dvisors</w:t>
      </w:r>
      <w:r w:rsidR="007B677A" w:rsidRPr="00CD08D8">
        <w:rPr>
          <w:rFonts w:ascii="Arial" w:hAnsi="Arial" w:cs="Arial"/>
        </w:rPr>
        <w:t>.</w:t>
      </w:r>
    </w:p>
    <w:p w:rsidR="007B677A" w:rsidRPr="00D36E17" w:rsidRDefault="00A179DE" w:rsidP="00851375">
      <w:pPr>
        <w:spacing w:line="360" w:lineRule="auto"/>
        <w:ind w:left="851" w:hanging="851"/>
        <w:jc w:val="both"/>
        <w:rPr>
          <w:rFonts w:ascii="Arial" w:hAnsi="Arial" w:cs="Arial"/>
        </w:rPr>
      </w:pPr>
      <w:r>
        <w:rPr>
          <w:rFonts w:ascii="Arial" w:hAnsi="Arial" w:cs="Arial"/>
        </w:rPr>
        <w:t xml:space="preserve">(b) </w:t>
      </w:r>
      <w:r w:rsidR="00851375">
        <w:rPr>
          <w:rFonts w:ascii="Arial" w:hAnsi="Arial" w:cs="Arial"/>
        </w:rPr>
        <w:tab/>
      </w:r>
      <w:r w:rsidR="007B677A" w:rsidRPr="00D36E17">
        <w:rPr>
          <w:rFonts w:ascii="Arial" w:hAnsi="Arial" w:cs="Arial"/>
        </w:rPr>
        <w:t xml:space="preserve">Public Entities under the auspices of the Department that have utilised the services of transaction advisors </w:t>
      </w:r>
      <w:r w:rsidR="00407193" w:rsidRPr="00D36E17">
        <w:rPr>
          <w:rFonts w:ascii="Arial" w:hAnsi="Arial" w:cs="Arial"/>
        </w:rPr>
        <w:t>are</w:t>
      </w:r>
      <w:r w:rsidR="007B677A" w:rsidRPr="00D36E17">
        <w:rPr>
          <w:rFonts w:ascii="Arial" w:hAnsi="Arial" w:cs="Arial"/>
        </w:rPr>
        <w:t xml:space="preserve"> </w:t>
      </w:r>
      <w:r w:rsidR="00851375">
        <w:rPr>
          <w:rFonts w:ascii="Arial" w:hAnsi="Arial" w:cs="Arial"/>
        </w:rPr>
        <w:t>tabulated below</w:t>
      </w:r>
      <w:r w:rsidR="007B677A" w:rsidRPr="00D36E17">
        <w:rPr>
          <w:rFonts w:ascii="Arial" w:hAnsi="Arial" w:cs="Arial"/>
        </w:rPr>
        <w:t>:</w:t>
      </w:r>
    </w:p>
    <w:tbl>
      <w:tblPr>
        <w:tblStyle w:val="TableGrid"/>
        <w:tblW w:w="0" w:type="auto"/>
        <w:tblLayout w:type="fixed"/>
        <w:tblLook w:val="04A0" w:firstRow="1" w:lastRow="0" w:firstColumn="1" w:lastColumn="0" w:noHBand="0" w:noVBand="1"/>
      </w:tblPr>
      <w:tblGrid>
        <w:gridCol w:w="2122"/>
        <w:gridCol w:w="1559"/>
        <w:gridCol w:w="1843"/>
        <w:gridCol w:w="1842"/>
        <w:gridCol w:w="1650"/>
      </w:tblGrid>
      <w:tr w:rsidR="00A179DE" w:rsidRPr="00D36E17" w:rsidTr="00851375">
        <w:tc>
          <w:tcPr>
            <w:tcW w:w="2122" w:type="dxa"/>
            <w:shd w:val="clear" w:color="auto" w:fill="F2F2F2"/>
            <w:vAlign w:val="center"/>
          </w:tcPr>
          <w:p w:rsidR="00A179DE" w:rsidRPr="00D36E17" w:rsidRDefault="00A179DE" w:rsidP="00851375">
            <w:pPr>
              <w:spacing w:before="60" w:after="60" w:line="240" w:lineRule="auto"/>
              <w:ind w:firstLine="29"/>
              <w:jc w:val="center"/>
              <w:rPr>
                <w:rFonts w:ascii="Arial" w:eastAsia="Times New Roman" w:hAnsi="Arial" w:cs="Arial"/>
                <w:b/>
                <w:lang w:val="en-ZA"/>
              </w:rPr>
            </w:pPr>
            <w:r w:rsidRPr="00D36E17">
              <w:rPr>
                <w:rFonts w:ascii="Arial" w:eastAsia="Times New Roman" w:hAnsi="Arial" w:cs="Arial"/>
                <w:b/>
                <w:lang w:val="en-ZA"/>
              </w:rPr>
              <w:t>Public Entity</w:t>
            </w:r>
          </w:p>
        </w:tc>
        <w:tc>
          <w:tcPr>
            <w:tcW w:w="1559" w:type="dxa"/>
            <w:shd w:val="clear" w:color="auto" w:fill="F2F2F2"/>
            <w:vAlign w:val="center"/>
          </w:tcPr>
          <w:p w:rsidR="00A179DE" w:rsidRPr="00D36E17" w:rsidRDefault="00A179DE" w:rsidP="00851375">
            <w:pPr>
              <w:spacing w:before="60" w:after="60" w:line="240" w:lineRule="auto"/>
              <w:jc w:val="center"/>
              <w:rPr>
                <w:rFonts w:ascii="Arial" w:eastAsia="Times New Roman" w:hAnsi="Arial" w:cs="Arial"/>
                <w:b/>
                <w:lang w:val="en-ZA"/>
              </w:rPr>
            </w:pPr>
            <w:r w:rsidRPr="00D36E17">
              <w:rPr>
                <w:rFonts w:ascii="Arial" w:eastAsia="Times New Roman" w:hAnsi="Arial" w:cs="Arial"/>
                <w:b/>
                <w:lang w:val="en-ZA"/>
              </w:rPr>
              <w:t xml:space="preserve">(i) </w:t>
            </w:r>
            <w:r>
              <w:rPr>
                <w:rFonts w:ascii="Arial" w:eastAsia="Times New Roman" w:hAnsi="Arial" w:cs="Arial"/>
                <w:b/>
                <w:lang w:val="en-ZA"/>
              </w:rPr>
              <w:t>T</w:t>
            </w:r>
            <w:r w:rsidR="00851375" w:rsidRPr="00D36E17">
              <w:rPr>
                <w:rFonts w:ascii="Arial" w:eastAsia="Times New Roman" w:hAnsi="Arial" w:cs="Arial"/>
                <w:b/>
              </w:rPr>
              <w:t>ransaction</w:t>
            </w:r>
            <w:r>
              <w:rPr>
                <w:rFonts w:ascii="Arial" w:eastAsia="Times New Roman" w:hAnsi="Arial" w:cs="Arial"/>
                <w:b/>
              </w:rPr>
              <w:t xml:space="preserve"> </w:t>
            </w:r>
            <w:r w:rsidR="00851375">
              <w:rPr>
                <w:rFonts w:ascii="Arial" w:eastAsia="Times New Roman" w:hAnsi="Arial" w:cs="Arial"/>
                <w:b/>
              </w:rPr>
              <w:t xml:space="preserve"> A</w:t>
            </w:r>
            <w:r w:rsidRPr="00D36E17">
              <w:rPr>
                <w:rFonts w:ascii="Arial" w:eastAsia="Times New Roman" w:hAnsi="Arial" w:cs="Arial"/>
                <w:b/>
              </w:rPr>
              <w:t>dvisors</w:t>
            </w:r>
          </w:p>
        </w:tc>
        <w:tc>
          <w:tcPr>
            <w:tcW w:w="1843" w:type="dxa"/>
            <w:shd w:val="clear" w:color="auto" w:fill="F2F2F2"/>
            <w:vAlign w:val="center"/>
          </w:tcPr>
          <w:p w:rsidR="00851375" w:rsidRDefault="00A179DE" w:rsidP="00851375">
            <w:pPr>
              <w:spacing w:before="60" w:after="60" w:line="240" w:lineRule="auto"/>
              <w:jc w:val="center"/>
              <w:rPr>
                <w:rFonts w:ascii="Arial" w:eastAsia="Times New Roman" w:hAnsi="Arial" w:cs="Arial"/>
                <w:b/>
                <w:lang w:val="en-ZA"/>
              </w:rPr>
            </w:pPr>
            <w:r w:rsidRPr="00D36E17">
              <w:rPr>
                <w:rFonts w:ascii="Arial" w:eastAsia="Times New Roman" w:hAnsi="Arial" w:cs="Arial"/>
                <w:b/>
                <w:lang w:val="en-ZA"/>
              </w:rPr>
              <w:t xml:space="preserve">(ii) </w:t>
            </w:r>
          </w:p>
          <w:p w:rsidR="00A179DE" w:rsidRPr="00D36E17" w:rsidRDefault="00A179DE" w:rsidP="00851375">
            <w:pPr>
              <w:spacing w:before="60" w:after="60" w:line="240" w:lineRule="auto"/>
              <w:jc w:val="center"/>
              <w:rPr>
                <w:rFonts w:ascii="Arial" w:eastAsia="Times New Roman" w:hAnsi="Arial" w:cs="Arial"/>
                <w:b/>
                <w:lang w:val="en-ZA"/>
              </w:rPr>
            </w:pPr>
            <w:r>
              <w:rPr>
                <w:rFonts w:ascii="Arial" w:eastAsia="Times New Roman" w:hAnsi="Arial" w:cs="Arial"/>
                <w:b/>
              </w:rPr>
              <w:t>T</w:t>
            </w:r>
            <w:r w:rsidRPr="00D36E17">
              <w:rPr>
                <w:rFonts w:ascii="Arial" w:eastAsia="Times New Roman" w:hAnsi="Arial" w:cs="Arial"/>
                <w:b/>
              </w:rPr>
              <w:t>enders</w:t>
            </w:r>
          </w:p>
        </w:tc>
        <w:tc>
          <w:tcPr>
            <w:tcW w:w="1842" w:type="dxa"/>
            <w:shd w:val="clear" w:color="auto" w:fill="F2F2F2"/>
            <w:vAlign w:val="center"/>
          </w:tcPr>
          <w:p w:rsidR="00851375" w:rsidRDefault="00A179DE" w:rsidP="00851375">
            <w:pPr>
              <w:spacing w:before="60" w:after="60" w:line="240" w:lineRule="auto"/>
              <w:jc w:val="center"/>
              <w:rPr>
                <w:rFonts w:ascii="Arial" w:eastAsia="Times New Roman" w:hAnsi="Arial" w:cs="Arial"/>
                <w:b/>
                <w:lang w:val="en-ZA"/>
              </w:rPr>
            </w:pPr>
            <w:r w:rsidRPr="00D36E17">
              <w:rPr>
                <w:rFonts w:ascii="Arial" w:eastAsia="Times New Roman" w:hAnsi="Arial" w:cs="Arial"/>
                <w:b/>
                <w:lang w:val="en-ZA"/>
              </w:rPr>
              <w:t xml:space="preserve">(iii) </w:t>
            </w:r>
          </w:p>
          <w:p w:rsidR="00A179DE" w:rsidRPr="00D36E17" w:rsidRDefault="00A179DE" w:rsidP="00851375">
            <w:pPr>
              <w:spacing w:before="60" w:after="60" w:line="240" w:lineRule="auto"/>
              <w:jc w:val="center"/>
              <w:rPr>
                <w:rFonts w:ascii="Arial" w:eastAsia="Times New Roman" w:hAnsi="Arial" w:cs="Arial"/>
                <w:b/>
                <w:lang w:val="en-ZA"/>
              </w:rPr>
            </w:pPr>
            <w:r>
              <w:rPr>
                <w:rFonts w:ascii="Arial" w:eastAsia="Times New Roman" w:hAnsi="Arial" w:cs="Arial"/>
                <w:b/>
              </w:rPr>
              <w:t>P</w:t>
            </w:r>
            <w:r w:rsidRPr="00D36E17">
              <w:rPr>
                <w:rFonts w:ascii="Arial" w:eastAsia="Times New Roman" w:hAnsi="Arial" w:cs="Arial"/>
                <w:b/>
              </w:rPr>
              <w:t>ricing</w:t>
            </w:r>
          </w:p>
        </w:tc>
        <w:tc>
          <w:tcPr>
            <w:tcW w:w="1650" w:type="dxa"/>
            <w:shd w:val="clear" w:color="auto" w:fill="F2F2F2"/>
            <w:vAlign w:val="center"/>
          </w:tcPr>
          <w:p w:rsidR="00851375" w:rsidRDefault="00A179DE" w:rsidP="00851375">
            <w:pPr>
              <w:spacing w:before="60" w:after="60" w:line="240" w:lineRule="auto"/>
              <w:jc w:val="center"/>
              <w:rPr>
                <w:rFonts w:ascii="Arial" w:eastAsia="Times New Roman" w:hAnsi="Arial" w:cs="Arial"/>
                <w:b/>
              </w:rPr>
            </w:pPr>
            <w:r w:rsidRPr="00D36E17">
              <w:rPr>
                <w:rFonts w:ascii="Arial" w:eastAsia="Times New Roman" w:hAnsi="Arial" w:cs="Arial"/>
                <w:b/>
              </w:rPr>
              <w:t>(</w:t>
            </w:r>
            <w:r>
              <w:rPr>
                <w:rFonts w:ascii="Arial" w:eastAsia="Times New Roman" w:hAnsi="Arial" w:cs="Arial"/>
                <w:b/>
              </w:rPr>
              <w:t>i</w:t>
            </w:r>
            <w:r w:rsidRPr="00D36E17">
              <w:rPr>
                <w:rFonts w:ascii="Arial" w:eastAsia="Times New Roman" w:hAnsi="Arial" w:cs="Arial"/>
                <w:b/>
              </w:rPr>
              <w:t xml:space="preserve">v) </w:t>
            </w:r>
          </w:p>
          <w:p w:rsidR="00A179DE" w:rsidRPr="00D36E17" w:rsidRDefault="00A179DE" w:rsidP="00851375">
            <w:pPr>
              <w:spacing w:before="60" w:after="60" w:line="240" w:lineRule="auto"/>
              <w:jc w:val="center"/>
              <w:rPr>
                <w:rFonts w:ascii="Arial" w:eastAsia="Times New Roman" w:hAnsi="Arial" w:cs="Arial"/>
                <w:b/>
                <w:lang w:val="en-ZA"/>
              </w:rPr>
            </w:pPr>
            <w:r>
              <w:rPr>
                <w:rFonts w:ascii="Arial" w:eastAsia="Times New Roman" w:hAnsi="Arial" w:cs="Arial"/>
                <w:b/>
              </w:rPr>
              <w:t>A</w:t>
            </w:r>
            <w:r w:rsidRPr="00D36E17">
              <w:rPr>
                <w:rFonts w:ascii="Arial" w:eastAsia="Times New Roman" w:hAnsi="Arial" w:cs="Arial"/>
                <w:b/>
              </w:rPr>
              <w:t xml:space="preserve">mount </w:t>
            </w:r>
            <w:r>
              <w:rPr>
                <w:rFonts w:ascii="Arial" w:eastAsia="Times New Roman" w:hAnsi="Arial" w:cs="Arial"/>
                <w:b/>
              </w:rPr>
              <w:t>paid</w:t>
            </w:r>
          </w:p>
        </w:tc>
      </w:tr>
      <w:tr w:rsidR="00A179DE" w:rsidRPr="00D36E17" w:rsidTr="00E25FA6">
        <w:tc>
          <w:tcPr>
            <w:tcW w:w="2122" w:type="dxa"/>
            <w:shd w:val="clear" w:color="auto" w:fill="auto"/>
            <w:vAlign w:val="center"/>
          </w:tcPr>
          <w:p w:rsidR="00A179DE" w:rsidRPr="00D36E17" w:rsidRDefault="00A179DE" w:rsidP="00851375">
            <w:pPr>
              <w:numPr>
                <w:ilvl w:val="0"/>
                <w:numId w:val="4"/>
              </w:numPr>
              <w:spacing w:before="60" w:after="60" w:line="240" w:lineRule="auto"/>
              <w:ind w:left="247" w:hanging="247"/>
              <w:rPr>
                <w:rFonts w:ascii="Arial" w:eastAsia="Times New Roman" w:hAnsi="Arial" w:cs="Arial"/>
              </w:rPr>
            </w:pPr>
            <w:r w:rsidRPr="00D36E17">
              <w:rPr>
                <w:rFonts w:ascii="Arial" w:eastAsia="Times New Roman" w:hAnsi="Arial" w:cs="Arial"/>
              </w:rPr>
              <w:t>Education, Training and Development Practices Sector Education and Training Authority (ETDP SETA)</w:t>
            </w:r>
          </w:p>
        </w:tc>
        <w:tc>
          <w:tcPr>
            <w:tcW w:w="1559" w:type="dxa"/>
            <w:shd w:val="clear" w:color="auto" w:fill="auto"/>
          </w:tcPr>
          <w:p w:rsidR="00A179DE" w:rsidRPr="00D36E17" w:rsidRDefault="00A179DE" w:rsidP="00E25FA6">
            <w:pPr>
              <w:spacing w:before="60" w:after="60" w:line="240" w:lineRule="auto"/>
              <w:rPr>
                <w:rFonts w:ascii="Arial" w:eastAsia="Times New Roman" w:hAnsi="Arial" w:cs="Arial"/>
                <w:lang w:val="en-ZA"/>
              </w:rPr>
            </w:pPr>
            <w:r w:rsidRPr="00D36E17">
              <w:rPr>
                <w:rFonts w:ascii="Arial" w:eastAsia="Times New Roman" w:hAnsi="Arial" w:cs="Arial"/>
                <w:lang w:val="en-ZA"/>
              </w:rPr>
              <w:t>Boqwana and Burns Attorneys</w:t>
            </w:r>
          </w:p>
        </w:tc>
        <w:tc>
          <w:tcPr>
            <w:tcW w:w="1843" w:type="dxa"/>
            <w:shd w:val="clear" w:color="auto" w:fill="auto"/>
          </w:tcPr>
          <w:p w:rsidR="00A179DE" w:rsidRDefault="00A179DE" w:rsidP="00E25FA6">
            <w:pPr>
              <w:pStyle w:val="ListParagraph"/>
              <w:numPr>
                <w:ilvl w:val="0"/>
                <w:numId w:val="8"/>
              </w:numPr>
              <w:spacing w:before="60" w:after="60" w:line="240" w:lineRule="auto"/>
              <w:ind w:left="317" w:hanging="283"/>
              <w:rPr>
                <w:rFonts w:ascii="Arial" w:eastAsia="Times New Roman" w:hAnsi="Arial" w:cs="Arial"/>
                <w:lang w:val="en-ZA"/>
              </w:rPr>
            </w:pPr>
            <w:r w:rsidRPr="00E25FA6">
              <w:rPr>
                <w:rFonts w:ascii="Arial" w:eastAsia="Times New Roman" w:hAnsi="Arial" w:cs="Arial"/>
                <w:lang w:val="en-ZA"/>
              </w:rPr>
              <w:t>Acquisition of office space</w:t>
            </w:r>
          </w:p>
          <w:p w:rsidR="00E25FA6" w:rsidRPr="00E25FA6" w:rsidRDefault="00E25FA6" w:rsidP="00E25FA6">
            <w:pPr>
              <w:pStyle w:val="ListParagraph"/>
              <w:numPr>
                <w:ilvl w:val="0"/>
                <w:numId w:val="8"/>
              </w:numPr>
              <w:spacing w:before="60" w:after="60" w:line="240" w:lineRule="auto"/>
              <w:ind w:left="317" w:hanging="283"/>
              <w:rPr>
                <w:rFonts w:ascii="Arial" w:eastAsia="Times New Roman" w:hAnsi="Arial" w:cs="Arial"/>
                <w:lang w:val="en-ZA"/>
              </w:rPr>
            </w:pPr>
            <w:r w:rsidRPr="00D36E17">
              <w:rPr>
                <w:rFonts w:ascii="Arial" w:eastAsia="Times New Roman" w:hAnsi="Arial" w:cs="Arial"/>
                <w:lang w:val="en-ZA"/>
              </w:rPr>
              <w:t>Lease of office space</w:t>
            </w:r>
          </w:p>
        </w:tc>
        <w:tc>
          <w:tcPr>
            <w:tcW w:w="1842" w:type="dxa"/>
            <w:shd w:val="clear" w:color="auto" w:fill="auto"/>
          </w:tcPr>
          <w:p w:rsidR="00A179DE" w:rsidRPr="00D36E17" w:rsidRDefault="00A179DE" w:rsidP="00E25FA6">
            <w:pPr>
              <w:spacing w:before="60" w:after="60" w:line="240" w:lineRule="auto"/>
              <w:jc w:val="right"/>
              <w:rPr>
                <w:rFonts w:ascii="Arial" w:eastAsia="Times New Roman" w:hAnsi="Arial" w:cs="Arial"/>
                <w:bCs/>
                <w:lang w:val="en-ZA"/>
              </w:rPr>
            </w:pPr>
            <w:r w:rsidRPr="00D36E17">
              <w:rPr>
                <w:rFonts w:ascii="Arial" w:eastAsia="Times New Roman" w:hAnsi="Arial" w:cs="Arial"/>
                <w:bCs/>
                <w:lang w:val="en-ZA"/>
              </w:rPr>
              <w:t>R30 000 000.00</w:t>
            </w:r>
          </w:p>
        </w:tc>
        <w:tc>
          <w:tcPr>
            <w:tcW w:w="1650" w:type="dxa"/>
            <w:shd w:val="clear" w:color="auto" w:fill="auto"/>
          </w:tcPr>
          <w:p w:rsidR="00A179DE" w:rsidRPr="00D36E17" w:rsidRDefault="00A179DE" w:rsidP="00E25FA6">
            <w:pPr>
              <w:spacing w:before="60" w:after="60" w:line="240" w:lineRule="auto"/>
              <w:jc w:val="right"/>
              <w:rPr>
                <w:rFonts w:ascii="Arial" w:eastAsia="Times New Roman" w:hAnsi="Arial" w:cs="Arial"/>
                <w:bCs/>
                <w:lang w:val="en-ZA"/>
              </w:rPr>
            </w:pPr>
            <w:r>
              <w:rPr>
                <w:rFonts w:ascii="Arial" w:eastAsia="Times New Roman" w:hAnsi="Arial" w:cs="Arial"/>
                <w:bCs/>
                <w:lang w:val="en-ZA"/>
              </w:rPr>
              <w:t>R</w:t>
            </w:r>
            <w:r w:rsidRPr="00D36E17">
              <w:rPr>
                <w:rFonts w:ascii="Arial" w:eastAsia="Times New Roman" w:hAnsi="Arial" w:cs="Arial"/>
                <w:bCs/>
                <w:lang w:val="en-ZA"/>
              </w:rPr>
              <w:t>340  666.20</w:t>
            </w:r>
          </w:p>
        </w:tc>
      </w:tr>
      <w:tr w:rsidR="00244825" w:rsidRPr="00D36E17" w:rsidTr="00851375">
        <w:tc>
          <w:tcPr>
            <w:tcW w:w="2122" w:type="dxa"/>
            <w:shd w:val="clear" w:color="auto" w:fill="auto"/>
          </w:tcPr>
          <w:p w:rsidR="00244825" w:rsidRPr="00D36E17" w:rsidRDefault="00244825" w:rsidP="00244825">
            <w:pPr>
              <w:numPr>
                <w:ilvl w:val="0"/>
                <w:numId w:val="4"/>
              </w:numPr>
              <w:spacing w:before="60" w:after="60" w:line="240" w:lineRule="auto"/>
              <w:ind w:left="247" w:hanging="247"/>
              <w:rPr>
                <w:rFonts w:ascii="Arial" w:eastAsia="Times New Roman" w:hAnsi="Arial" w:cs="Arial"/>
              </w:rPr>
            </w:pPr>
            <w:r w:rsidRPr="00D36E17">
              <w:rPr>
                <w:rFonts w:ascii="Arial" w:eastAsia="Times New Roman" w:hAnsi="Arial" w:cs="Arial"/>
              </w:rPr>
              <w:t>Media, Information and Communication Technologies Sector Education and Training Authority (MICT SETA)</w:t>
            </w:r>
          </w:p>
        </w:tc>
        <w:tc>
          <w:tcPr>
            <w:tcW w:w="1559" w:type="dxa"/>
            <w:shd w:val="clear" w:color="auto" w:fill="auto"/>
          </w:tcPr>
          <w:p w:rsidR="00244825" w:rsidRPr="00D36E17" w:rsidRDefault="00244825" w:rsidP="00244825">
            <w:pPr>
              <w:spacing w:before="60" w:after="60" w:line="240" w:lineRule="auto"/>
              <w:rPr>
                <w:rFonts w:ascii="Arial" w:eastAsia="Times New Roman" w:hAnsi="Arial" w:cs="Arial"/>
              </w:rPr>
            </w:pPr>
            <w:r w:rsidRPr="00D36E17">
              <w:rPr>
                <w:rFonts w:ascii="Arial" w:eastAsia="Times New Roman" w:hAnsi="Arial" w:cs="Arial"/>
                <w:bCs/>
                <w:lang w:val="en-ZA"/>
              </w:rPr>
              <w:t>Tiisang Risk and Consulting</w:t>
            </w:r>
          </w:p>
        </w:tc>
        <w:tc>
          <w:tcPr>
            <w:tcW w:w="1843" w:type="dxa"/>
            <w:shd w:val="clear" w:color="auto" w:fill="auto"/>
          </w:tcPr>
          <w:p w:rsidR="00244825" w:rsidRPr="009B46CB" w:rsidRDefault="00244825" w:rsidP="00244825">
            <w:pPr>
              <w:pStyle w:val="ListParagraph"/>
              <w:numPr>
                <w:ilvl w:val="0"/>
                <w:numId w:val="9"/>
              </w:numPr>
              <w:spacing w:before="60" w:after="60"/>
            </w:pPr>
            <w:r w:rsidRPr="009B46CB">
              <w:rPr>
                <w:rFonts w:ascii="Arial" w:hAnsi="Arial" w:cs="Arial"/>
              </w:rPr>
              <w:t xml:space="preserve">Financial Management Services (FMS)  </w:t>
            </w:r>
          </w:p>
          <w:p w:rsidR="00244825" w:rsidRPr="009B46CB" w:rsidRDefault="00244825" w:rsidP="00244825">
            <w:pPr>
              <w:spacing w:before="60" w:after="60"/>
              <w:ind w:left="318" w:hanging="284"/>
            </w:pPr>
            <w:r w:rsidRPr="009B46CB">
              <w:rPr>
                <w:rFonts w:ascii="Symbol" w:hAnsi="Symbol"/>
              </w:rPr>
              <w:t></w:t>
            </w:r>
            <w:r w:rsidRPr="009B46CB">
              <w:rPr>
                <w:rFonts w:ascii="Times New Roman" w:hAnsi="Times New Roman"/>
                <w:sz w:val="14"/>
                <w:szCs w:val="14"/>
              </w:rPr>
              <w:t xml:space="preserve">      </w:t>
            </w:r>
            <w:r w:rsidRPr="009B46CB">
              <w:rPr>
                <w:rFonts w:ascii="Arial" w:hAnsi="Arial" w:cs="Arial"/>
              </w:rPr>
              <w:t>ICT SETA Management System (ICT SMS)</w:t>
            </w:r>
          </w:p>
          <w:p w:rsidR="00244825" w:rsidRPr="009B46CB" w:rsidRDefault="00244825" w:rsidP="00244825">
            <w:pPr>
              <w:spacing w:before="60" w:after="60"/>
              <w:ind w:left="318" w:hanging="284"/>
            </w:pPr>
            <w:r w:rsidRPr="009B46CB">
              <w:rPr>
                <w:rFonts w:ascii="Symbol" w:hAnsi="Symbol"/>
              </w:rPr>
              <w:t></w:t>
            </w:r>
            <w:r w:rsidRPr="009B46CB">
              <w:rPr>
                <w:rFonts w:ascii="Times New Roman" w:hAnsi="Times New Roman"/>
                <w:sz w:val="14"/>
                <w:szCs w:val="14"/>
              </w:rPr>
              <w:t xml:space="preserve">      </w:t>
            </w:r>
            <w:r w:rsidRPr="009B46CB">
              <w:rPr>
                <w:rFonts w:ascii="Arial" w:hAnsi="Arial" w:cs="Arial"/>
              </w:rPr>
              <w:t>Internal Auditors Services (IAS)</w:t>
            </w:r>
          </w:p>
          <w:p w:rsidR="00244825" w:rsidRPr="009B46CB" w:rsidRDefault="00244825" w:rsidP="00244825">
            <w:pPr>
              <w:numPr>
                <w:ilvl w:val="0"/>
                <w:numId w:val="5"/>
              </w:numPr>
              <w:spacing w:before="60" w:after="60" w:line="240" w:lineRule="auto"/>
              <w:ind w:left="318" w:hanging="284"/>
              <w:rPr>
                <w:rFonts w:ascii="Arial" w:eastAsia="Times New Roman" w:hAnsi="Arial" w:cs="Arial"/>
                <w:bCs/>
                <w:lang w:val="en-ZA"/>
              </w:rPr>
            </w:pPr>
            <w:r w:rsidRPr="009B46CB">
              <w:rPr>
                <w:rFonts w:ascii="Arial" w:eastAsia="Times New Roman" w:hAnsi="Arial" w:cs="Arial"/>
                <w:bCs/>
                <w:lang w:val="en-ZA"/>
              </w:rPr>
              <w:t>Video Conferencing</w:t>
            </w:r>
          </w:p>
          <w:p w:rsidR="00244825" w:rsidRPr="009B46CB" w:rsidRDefault="00244825" w:rsidP="00244825">
            <w:pPr>
              <w:numPr>
                <w:ilvl w:val="0"/>
                <w:numId w:val="5"/>
              </w:numPr>
              <w:spacing w:before="60" w:after="60" w:line="240" w:lineRule="auto"/>
              <w:ind w:left="318" w:hanging="284"/>
              <w:rPr>
                <w:rFonts w:ascii="Arial" w:eastAsia="Times New Roman" w:hAnsi="Arial" w:cs="Arial"/>
                <w:bCs/>
                <w:lang w:val="en-ZA"/>
              </w:rPr>
            </w:pPr>
            <w:r w:rsidRPr="009B46CB">
              <w:rPr>
                <w:rFonts w:ascii="Arial" w:eastAsia="Times New Roman" w:hAnsi="Arial" w:cs="Arial"/>
                <w:bCs/>
                <w:lang w:val="en-ZA"/>
              </w:rPr>
              <w:t>Travel Management</w:t>
            </w:r>
            <w:r>
              <w:rPr>
                <w:rFonts w:ascii="Arial" w:eastAsia="Times New Roman" w:hAnsi="Arial" w:cs="Arial"/>
                <w:bCs/>
                <w:lang w:val="en-ZA"/>
              </w:rPr>
              <w:t xml:space="preserve"> Services (TMS)</w:t>
            </w:r>
          </w:p>
          <w:p w:rsidR="00244825" w:rsidRDefault="00244825" w:rsidP="00244825">
            <w:pPr>
              <w:numPr>
                <w:ilvl w:val="0"/>
                <w:numId w:val="5"/>
              </w:numPr>
              <w:spacing w:before="60" w:after="60" w:line="240" w:lineRule="auto"/>
              <w:ind w:left="318" w:hanging="284"/>
              <w:rPr>
                <w:rFonts w:ascii="Arial" w:eastAsia="Times New Roman" w:hAnsi="Arial" w:cs="Arial"/>
                <w:bCs/>
                <w:lang w:val="en-ZA"/>
              </w:rPr>
            </w:pPr>
            <w:r w:rsidRPr="009B46CB">
              <w:rPr>
                <w:rFonts w:ascii="Arial" w:eastAsia="Times New Roman" w:hAnsi="Arial" w:cs="Arial"/>
                <w:bCs/>
                <w:lang w:val="en-ZA"/>
              </w:rPr>
              <w:lastRenderedPageBreak/>
              <w:t>I</w:t>
            </w:r>
            <w:r>
              <w:rPr>
                <w:rFonts w:ascii="Arial" w:eastAsia="Times New Roman" w:hAnsi="Arial" w:cs="Arial"/>
                <w:bCs/>
                <w:lang w:val="en-ZA"/>
              </w:rPr>
              <w:t>nformation Technology</w:t>
            </w:r>
          </w:p>
          <w:p w:rsidR="00244825" w:rsidRPr="003863E0" w:rsidRDefault="00244825" w:rsidP="00244825">
            <w:pPr>
              <w:spacing w:before="60" w:after="60" w:line="240" w:lineRule="auto"/>
              <w:ind w:left="318"/>
              <w:rPr>
                <w:rFonts w:ascii="Arial" w:eastAsia="Times New Roman" w:hAnsi="Arial" w:cs="Arial"/>
                <w:bCs/>
                <w:lang w:val="en-ZA"/>
              </w:rPr>
            </w:pPr>
            <w:r w:rsidRPr="003863E0">
              <w:rPr>
                <w:rFonts w:ascii="Arial" w:eastAsia="Times New Roman" w:hAnsi="Arial" w:cs="Arial"/>
                <w:bCs/>
                <w:lang w:val="en-ZA"/>
              </w:rPr>
              <w:t>Services</w:t>
            </w:r>
          </w:p>
          <w:p w:rsidR="00244825" w:rsidRPr="009B46CB" w:rsidRDefault="00244825" w:rsidP="00244825">
            <w:pPr>
              <w:numPr>
                <w:ilvl w:val="0"/>
                <w:numId w:val="5"/>
              </w:numPr>
              <w:spacing w:before="60" w:after="60" w:line="240" w:lineRule="auto"/>
              <w:ind w:left="318" w:hanging="284"/>
              <w:rPr>
                <w:rFonts w:ascii="Arial" w:eastAsia="Times New Roman" w:hAnsi="Arial" w:cs="Arial"/>
                <w:bCs/>
                <w:lang w:val="en-ZA"/>
              </w:rPr>
            </w:pPr>
            <w:r w:rsidRPr="009B46CB">
              <w:rPr>
                <w:rFonts w:ascii="Arial" w:eastAsia="Times New Roman" w:hAnsi="Arial" w:cs="Arial"/>
                <w:bCs/>
                <w:lang w:val="en-ZA"/>
              </w:rPr>
              <w:t xml:space="preserve">Human Resource </w:t>
            </w:r>
            <w:r>
              <w:rPr>
                <w:rFonts w:ascii="Arial" w:eastAsia="Times New Roman" w:hAnsi="Arial" w:cs="Arial"/>
                <w:bCs/>
                <w:lang w:val="en-ZA"/>
              </w:rPr>
              <w:t xml:space="preserve">Information </w:t>
            </w:r>
            <w:r w:rsidRPr="009B46CB">
              <w:rPr>
                <w:rFonts w:ascii="Arial" w:eastAsia="Times New Roman" w:hAnsi="Arial" w:cs="Arial"/>
                <w:bCs/>
                <w:lang w:val="en-ZA"/>
              </w:rPr>
              <w:t>System</w:t>
            </w:r>
            <w:r>
              <w:rPr>
                <w:rFonts w:ascii="Arial" w:eastAsia="Times New Roman" w:hAnsi="Arial" w:cs="Arial"/>
                <w:bCs/>
                <w:lang w:val="en-ZA"/>
              </w:rPr>
              <w:t xml:space="preserve"> (HRIS)</w:t>
            </w:r>
          </w:p>
          <w:p w:rsidR="00244825" w:rsidRPr="009B46CB" w:rsidRDefault="00244825" w:rsidP="00244825">
            <w:pPr>
              <w:numPr>
                <w:ilvl w:val="0"/>
                <w:numId w:val="5"/>
              </w:numPr>
              <w:spacing w:before="60" w:after="60" w:line="240" w:lineRule="auto"/>
              <w:ind w:left="318" w:hanging="284"/>
              <w:rPr>
                <w:rFonts w:ascii="Arial" w:eastAsia="Times New Roman" w:hAnsi="Arial" w:cs="Arial"/>
                <w:bCs/>
                <w:lang w:val="en-ZA"/>
              </w:rPr>
            </w:pPr>
            <w:r w:rsidRPr="009B46CB">
              <w:rPr>
                <w:rFonts w:ascii="Arial" w:eastAsia="Times New Roman" w:hAnsi="Arial" w:cs="Arial"/>
                <w:bCs/>
                <w:lang w:val="en-ZA"/>
              </w:rPr>
              <w:t>Supply Chain Management System</w:t>
            </w:r>
            <w:r>
              <w:rPr>
                <w:rFonts w:ascii="Arial" w:eastAsia="Times New Roman" w:hAnsi="Arial" w:cs="Arial"/>
                <w:bCs/>
                <w:lang w:val="en-ZA"/>
              </w:rPr>
              <w:t xml:space="preserve"> (SCMS)</w:t>
            </w:r>
          </w:p>
        </w:tc>
        <w:tc>
          <w:tcPr>
            <w:tcW w:w="1842" w:type="dxa"/>
            <w:shd w:val="clear" w:color="auto" w:fill="auto"/>
          </w:tcPr>
          <w:p w:rsidR="00244825" w:rsidRPr="009B46CB" w:rsidRDefault="00244825" w:rsidP="00244825">
            <w:pPr>
              <w:spacing w:before="60" w:after="60" w:line="240" w:lineRule="auto"/>
              <w:jc w:val="right"/>
              <w:rPr>
                <w:rFonts w:ascii="Arial" w:eastAsia="Times New Roman" w:hAnsi="Arial" w:cs="Arial"/>
                <w:bCs/>
              </w:rPr>
            </w:pPr>
            <w:r w:rsidRPr="009B46CB">
              <w:rPr>
                <w:rFonts w:ascii="Arial" w:eastAsia="Times New Roman" w:hAnsi="Arial" w:cs="Arial"/>
                <w:bCs/>
                <w:lang w:val="en-ZA"/>
              </w:rPr>
              <w:lastRenderedPageBreak/>
              <w:t>R42</w:t>
            </w:r>
            <w:bookmarkStart w:id="0" w:name="_GoBack"/>
            <w:bookmarkEnd w:id="0"/>
            <w:r w:rsidRPr="009B46CB">
              <w:rPr>
                <w:rFonts w:ascii="Arial" w:eastAsia="Times New Roman" w:hAnsi="Arial" w:cs="Arial"/>
                <w:bCs/>
                <w:lang w:val="en-ZA"/>
              </w:rPr>
              <w:t>9 146.00</w:t>
            </w:r>
          </w:p>
        </w:tc>
        <w:tc>
          <w:tcPr>
            <w:tcW w:w="1650" w:type="dxa"/>
            <w:shd w:val="clear" w:color="auto" w:fill="auto"/>
          </w:tcPr>
          <w:p w:rsidR="00244825" w:rsidRPr="00D36E17" w:rsidRDefault="00244825" w:rsidP="00244825">
            <w:pPr>
              <w:spacing w:before="60" w:after="60" w:line="240" w:lineRule="auto"/>
              <w:jc w:val="right"/>
              <w:rPr>
                <w:rFonts w:ascii="Arial" w:eastAsia="Times New Roman" w:hAnsi="Arial" w:cs="Arial"/>
                <w:bCs/>
              </w:rPr>
            </w:pPr>
            <w:r w:rsidRPr="00D36E17">
              <w:rPr>
                <w:rFonts w:ascii="Arial" w:eastAsia="Times New Roman" w:hAnsi="Arial" w:cs="Arial"/>
                <w:bCs/>
                <w:lang w:val="en-ZA"/>
              </w:rPr>
              <w:t>R610 287.00</w:t>
            </w:r>
          </w:p>
        </w:tc>
      </w:tr>
    </w:tbl>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r w:rsidRPr="00D36E17">
        <w:rPr>
          <w:rFonts w:ascii="Arial" w:hAnsi="Arial" w:cs="Arial"/>
        </w:rPr>
        <w:br w:type="page"/>
      </w:r>
    </w:p>
    <w:p w:rsidR="007B677A" w:rsidRPr="00D36E17" w:rsidRDefault="007B677A" w:rsidP="00D36E17">
      <w:pPr>
        <w:spacing w:line="360" w:lineRule="auto"/>
        <w:jc w:val="both"/>
        <w:rPr>
          <w:rFonts w:ascii="Arial" w:hAnsi="Arial" w:cs="Arial"/>
        </w:rPr>
        <w:sectPr w:rsidR="007B677A" w:rsidRPr="00D36E17" w:rsidSect="00A179DE">
          <w:footerReference w:type="default" r:id="rId8"/>
          <w:headerReference w:type="first" r:id="rId9"/>
          <w:type w:val="continuous"/>
          <w:pgSz w:w="11906" w:h="16838"/>
          <w:pgMar w:top="1440" w:right="1440" w:bottom="1440" w:left="1440" w:header="709" w:footer="709" w:gutter="0"/>
          <w:cols w:space="708"/>
          <w:docGrid w:linePitch="360"/>
        </w:sectPr>
      </w:pPr>
    </w:p>
    <w:p w:rsidR="007B677A" w:rsidRPr="00D36E17" w:rsidRDefault="007B677A" w:rsidP="00D36E17">
      <w:pPr>
        <w:spacing w:line="360" w:lineRule="auto"/>
        <w:jc w:val="both"/>
        <w:rPr>
          <w:rFonts w:ascii="Arial" w:hAnsi="Arial" w:cs="Arial"/>
        </w:rPr>
      </w:pPr>
      <w:r w:rsidRPr="00D36E17">
        <w:rPr>
          <w:rFonts w:ascii="Arial" w:hAnsi="Arial" w:cs="Arial"/>
        </w:rPr>
        <w:lastRenderedPageBreak/>
        <w:t>COMPILER/CONTACT PERSONS:</w:t>
      </w:r>
      <w:r w:rsidR="00D36E17">
        <w:rPr>
          <w:rFonts w:ascii="Arial" w:hAnsi="Arial" w:cs="Arial"/>
        </w:rPr>
        <w:t xml:space="preserve"> Mr T Tredoux</w:t>
      </w:r>
    </w:p>
    <w:p w:rsidR="007B677A" w:rsidRPr="00D36E17" w:rsidRDefault="007B677A" w:rsidP="00D36E17">
      <w:pPr>
        <w:spacing w:line="360" w:lineRule="auto"/>
        <w:jc w:val="both"/>
        <w:rPr>
          <w:rFonts w:ascii="Arial" w:hAnsi="Arial" w:cs="Arial"/>
        </w:rPr>
      </w:pPr>
      <w:r w:rsidRPr="00D36E17">
        <w:rPr>
          <w:rFonts w:ascii="Arial" w:hAnsi="Arial" w:cs="Arial"/>
        </w:rPr>
        <w:t>EXT:</w:t>
      </w:r>
      <w:r w:rsidR="00D36E17">
        <w:rPr>
          <w:rFonts w:ascii="Arial" w:hAnsi="Arial" w:cs="Arial"/>
        </w:rPr>
        <w:t xml:space="preserve"> 5079</w:t>
      </w: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r w:rsidRPr="00D36E17">
        <w:rPr>
          <w:rFonts w:ascii="Arial" w:hAnsi="Arial" w:cs="Arial"/>
        </w:rPr>
        <w:t>DIRECTOR – GENERAL</w:t>
      </w:r>
    </w:p>
    <w:p w:rsidR="007B677A" w:rsidRPr="00D36E17" w:rsidRDefault="007B677A" w:rsidP="00D36E17">
      <w:pPr>
        <w:spacing w:line="360" w:lineRule="auto"/>
        <w:jc w:val="both"/>
        <w:rPr>
          <w:rFonts w:ascii="Arial" w:hAnsi="Arial" w:cs="Arial"/>
        </w:rPr>
      </w:pPr>
      <w:r w:rsidRPr="00D36E17">
        <w:rPr>
          <w:rFonts w:ascii="Arial" w:hAnsi="Arial" w:cs="Arial"/>
        </w:rPr>
        <w:t>STATUS:</w:t>
      </w:r>
    </w:p>
    <w:p w:rsidR="007B677A" w:rsidRPr="00D36E17" w:rsidRDefault="007B677A" w:rsidP="00D36E17">
      <w:pPr>
        <w:spacing w:line="360" w:lineRule="auto"/>
        <w:jc w:val="both"/>
        <w:rPr>
          <w:rFonts w:ascii="Arial" w:hAnsi="Arial" w:cs="Arial"/>
        </w:rPr>
      </w:pPr>
      <w:r w:rsidRPr="00D36E17">
        <w:rPr>
          <w:rFonts w:ascii="Arial" w:hAnsi="Arial" w:cs="Arial"/>
        </w:rPr>
        <w:t>DATE:</w:t>
      </w: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r w:rsidRPr="00D36E17">
        <w:rPr>
          <w:rFonts w:ascii="Arial" w:hAnsi="Arial" w:cs="Arial"/>
        </w:rPr>
        <w:t xml:space="preserve">QUESTION 1893 APPROVED/NOT APPROVED/AMENDED </w:t>
      </w: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p>
    <w:p w:rsidR="007B677A" w:rsidRPr="00D36E17" w:rsidRDefault="007B677A" w:rsidP="00D36E17">
      <w:pPr>
        <w:spacing w:line="360" w:lineRule="auto"/>
        <w:jc w:val="both"/>
        <w:rPr>
          <w:rFonts w:ascii="Arial" w:hAnsi="Arial" w:cs="Arial"/>
        </w:rPr>
      </w:pPr>
      <w:r w:rsidRPr="00D36E17">
        <w:rPr>
          <w:rFonts w:ascii="Arial" w:hAnsi="Arial" w:cs="Arial"/>
        </w:rPr>
        <w:t>Dr B</w:t>
      </w:r>
      <w:r w:rsidR="00D36E17">
        <w:rPr>
          <w:rFonts w:ascii="Arial" w:hAnsi="Arial" w:cs="Arial"/>
        </w:rPr>
        <w:t>E</w:t>
      </w:r>
      <w:r w:rsidRPr="00D36E17">
        <w:rPr>
          <w:rFonts w:ascii="Arial" w:hAnsi="Arial" w:cs="Arial"/>
        </w:rPr>
        <w:t xml:space="preserve"> NZIMANDE, MP</w:t>
      </w:r>
    </w:p>
    <w:p w:rsidR="007B677A" w:rsidRPr="00D36E17" w:rsidRDefault="007B677A" w:rsidP="00D36E17">
      <w:pPr>
        <w:spacing w:line="360" w:lineRule="auto"/>
        <w:jc w:val="both"/>
        <w:rPr>
          <w:rFonts w:ascii="Arial" w:hAnsi="Arial" w:cs="Arial"/>
        </w:rPr>
      </w:pPr>
      <w:r w:rsidRPr="00D36E17">
        <w:rPr>
          <w:rFonts w:ascii="Arial" w:hAnsi="Arial" w:cs="Arial"/>
        </w:rPr>
        <w:t>MINISTER OF HIGHER EDUCATION AND TRAINING</w:t>
      </w:r>
    </w:p>
    <w:p w:rsidR="007B677A" w:rsidRPr="00D36E17" w:rsidRDefault="007B677A" w:rsidP="00D36E17">
      <w:pPr>
        <w:spacing w:line="360" w:lineRule="auto"/>
        <w:jc w:val="both"/>
        <w:rPr>
          <w:rFonts w:ascii="Arial" w:hAnsi="Arial" w:cs="Arial"/>
        </w:rPr>
      </w:pPr>
      <w:r w:rsidRPr="00D36E17">
        <w:rPr>
          <w:rFonts w:ascii="Arial" w:hAnsi="Arial" w:cs="Arial"/>
        </w:rPr>
        <w:t>STATUS:</w:t>
      </w:r>
    </w:p>
    <w:p w:rsidR="007B677A" w:rsidRPr="00D36E17" w:rsidRDefault="007B677A" w:rsidP="00D36E17">
      <w:pPr>
        <w:spacing w:line="360" w:lineRule="auto"/>
        <w:jc w:val="both"/>
        <w:rPr>
          <w:rFonts w:ascii="Arial" w:hAnsi="Arial" w:cs="Arial"/>
        </w:rPr>
      </w:pPr>
      <w:r w:rsidRPr="00D36E17">
        <w:rPr>
          <w:rFonts w:ascii="Arial" w:hAnsi="Arial" w:cs="Arial"/>
        </w:rPr>
        <w:t>DATE:</w:t>
      </w:r>
    </w:p>
    <w:sectPr w:rsidR="007B677A" w:rsidRPr="00D36E17" w:rsidSect="00A179D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DD" w:rsidRDefault="005E76DD">
      <w:pPr>
        <w:spacing w:after="0" w:line="240" w:lineRule="auto"/>
      </w:pPr>
      <w:r>
        <w:separator/>
      </w:r>
    </w:p>
  </w:endnote>
  <w:endnote w:type="continuationSeparator" w:id="0">
    <w:p w:rsidR="005E76DD" w:rsidRDefault="005E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DD" w:rsidRDefault="007B677A">
    <w:pPr>
      <w:pStyle w:val="Footer"/>
      <w:jc w:val="right"/>
    </w:pPr>
    <w:r>
      <w:fldChar w:fldCharType="begin"/>
    </w:r>
    <w:r>
      <w:instrText xml:space="preserve"> PAGE   \* MERGEFORMAT </w:instrText>
    </w:r>
    <w:r>
      <w:fldChar w:fldCharType="separate"/>
    </w:r>
    <w:r w:rsidR="00244825">
      <w:rPr>
        <w:noProof/>
      </w:rPr>
      <w:t>1</w:t>
    </w:r>
    <w:r>
      <w:rPr>
        <w:noProof/>
      </w:rPr>
      <w:fldChar w:fldCharType="end"/>
    </w:r>
  </w:p>
  <w:p w:rsidR="0014537D" w:rsidRDefault="005E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DD" w:rsidRDefault="005E76DD">
      <w:pPr>
        <w:spacing w:after="0" w:line="240" w:lineRule="auto"/>
      </w:pPr>
      <w:r>
        <w:separator/>
      </w:r>
    </w:p>
  </w:footnote>
  <w:footnote w:type="continuationSeparator" w:id="0">
    <w:p w:rsidR="005E76DD" w:rsidRDefault="005E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7D" w:rsidRDefault="007B677A" w:rsidP="0014537D">
    <w:pPr>
      <w:pStyle w:val="Footer"/>
    </w:pPr>
    <w:r>
      <w:tab/>
      <w:t xml:space="preserve">Public Entities under the auspices of the Department that have utilised the services of transaction advisors is indicated as follows: </w:t>
    </w:r>
  </w:p>
  <w:p w:rsidR="0011693D" w:rsidRPr="0014537D" w:rsidRDefault="005E76DD" w:rsidP="0014537D">
    <w:pPr>
      <w:pStyle w:val="Header"/>
      <w:tabs>
        <w:tab w:val="clear" w:pos="4513"/>
        <w:tab w:val="clear" w:pos="9026"/>
        <w:tab w:val="left" w:pos="1012"/>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B40"/>
    <w:multiLevelType w:val="hybridMultilevel"/>
    <w:tmpl w:val="CBC857C6"/>
    <w:lvl w:ilvl="0" w:tplc="EBBE8ABC">
      <w:start w:val="1"/>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BFD2130"/>
    <w:multiLevelType w:val="hybridMultilevel"/>
    <w:tmpl w:val="B91621B2"/>
    <w:lvl w:ilvl="0" w:tplc="BCE89A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880FB5"/>
    <w:multiLevelType w:val="hybridMultilevel"/>
    <w:tmpl w:val="786C2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9D46FF9"/>
    <w:multiLevelType w:val="hybridMultilevel"/>
    <w:tmpl w:val="996C5AF6"/>
    <w:lvl w:ilvl="0" w:tplc="51465F6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872225"/>
    <w:multiLevelType w:val="hybridMultilevel"/>
    <w:tmpl w:val="39B8D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117501F"/>
    <w:multiLevelType w:val="hybridMultilevel"/>
    <w:tmpl w:val="00BEE608"/>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6">
    <w:nsid w:val="6E904D28"/>
    <w:multiLevelType w:val="hybridMultilevel"/>
    <w:tmpl w:val="2D30F4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A781DD5"/>
    <w:multiLevelType w:val="hybridMultilevel"/>
    <w:tmpl w:val="DB12E8C0"/>
    <w:lvl w:ilvl="0" w:tplc="F44EDEDA">
      <w:start w:val="2"/>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nsid w:val="7DCD6C9D"/>
    <w:multiLevelType w:val="hybridMultilevel"/>
    <w:tmpl w:val="45C64C6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7A"/>
    <w:rsid w:val="00127215"/>
    <w:rsid w:val="00155414"/>
    <w:rsid w:val="002438D7"/>
    <w:rsid w:val="00244825"/>
    <w:rsid w:val="00407193"/>
    <w:rsid w:val="00465380"/>
    <w:rsid w:val="004A7894"/>
    <w:rsid w:val="004E2E34"/>
    <w:rsid w:val="005E329D"/>
    <w:rsid w:val="005E76DD"/>
    <w:rsid w:val="005F3308"/>
    <w:rsid w:val="006A3F6B"/>
    <w:rsid w:val="00795775"/>
    <w:rsid w:val="007B677A"/>
    <w:rsid w:val="00851375"/>
    <w:rsid w:val="008F7C51"/>
    <w:rsid w:val="00912CD8"/>
    <w:rsid w:val="009703F9"/>
    <w:rsid w:val="00A179DE"/>
    <w:rsid w:val="00CD08D8"/>
    <w:rsid w:val="00D14329"/>
    <w:rsid w:val="00D36E17"/>
    <w:rsid w:val="00D5210B"/>
    <w:rsid w:val="00E25FA6"/>
    <w:rsid w:val="00FC6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4280-5D50-45AD-8583-50CCC93D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7A"/>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77A"/>
    <w:pPr>
      <w:tabs>
        <w:tab w:val="center" w:pos="4513"/>
        <w:tab w:val="right" w:pos="9026"/>
      </w:tabs>
    </w:pPr>
  </w:style>
  <w:style w:type="character" w:customStyle="1" w:styleId="HeaderChar">
    <w:name w:val="Header Char"/>
    <w:basedOn w:val="DefaultParagraphFont"/>
    <w:link w:val="Header"/>
    <w:uiPriority w:val="99"/>
    <w:rsid w:val="007B677A"/>
    <w:rPr>
      <w:rFonts w:ascii="Calibri" w:eastAsia="Calibri" w:hAnsi="Calibri" w:cs="Calibri"/>
      <w:lang w:val="en-GB"/>
    </w:rPr>
  </w:style>
  <w:style w:type="paragraph" w:styleId="Footer">
    <w:name w:val="footer"/>
    <w:basedOn w:val="Normal"/>
    <w:link w:val="FooterChar"/>
    <w:uiPriority w:val="99"/>
    <w:unhideWhenUsed/>
    <w:rsid w:val="007B677A"/>
    <w:pPr>
      <w:tabs>
        <w:tab w:val="center" w:pos="4513"/>
        <w:tab w:val="right" w:pos="9026"/>
      </w:tabs>
    </w:pPr>
  </w:style>
  <w:style w:type="character" w:customStyle="1" w:styleId="FooterChar">
    <w:name w:val="Footer Char"/>
    <w:basedOn w:val="DefaultParagraphFont"/>
    <w:link w:val="Footer"/>
    <w:uiPriority w:val="99"/>
    <w:rsid w:val="007B677A"/>
    <w:rPr>
      <w:rFonts w:ascii="Calibri" w:eastAsia="Calibri" w:hAnsi="Calibri" w:cs="Calibri"/>
      <w:lang w:val="en-GB"/>
    </w:rPr>
  </w:style>
  <w:style w:type="table" w:styleId="TableGrid">
    <w:name w:val="Table Grid"/>
    <w:basedOn w:val="TableNormal"/>
    <w:uiPriority w:val="39"/>
    <w:rsid w:val="007B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7A"/>
    <w:rPr>
      <w:rFonts w:ascii="Segoe UI" w:eastAsia="Calibri" w:hAnsi="Segoe UI" w:cs="Segoe UI"/>
      <w:sz w:val="18"/>
      <w:szCs w:val="18"/>
      <w:lang w:val="en-GB"/>
    </w:rPr>
  </w:style>
  <w:style w:type="paragraph" w:styleId="ListParagraph">
    <w:name w:val="List Paragraph"/>
    <w:basedOn w:val="Normal"/>
    <w:uiPriority w:val="34"/>
    <w:qFormat/>
    <w:rsid w:val="00CD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Badenhorst.C</dc:creator>
  <cp:keywords/>
  <dc:description/>
  <cp:lastModifiedBy>Badenhorst.C</cp:lastModifiedBy>
  <cp:revision>2</cp:revision>
  <cp:lastPrinted>2017-06-29T06:49:00Z</cp:lastPrinted>
  <dcterms:created xsi:type="dcterms:W3CDTF">2017-07-11T13:28:00Z</dcterms:created>
  <dcterms:modified xsi:type="dcterms:W3CDTF">2017-07-11T13:28:00Z</dcterms:modified>
</cp:coreProperties>
</file>