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F4F4" w14:textId="77777777" w:rsidR="000F6AD9" w:rsidRPr="009F75A7" w:rsidRDefault="000F6AD9" w:rsidP="000F6AD9">
      <w:pPr>
        <w:pStyle w:val="Title"/>
        <w:ind w:left="2880" w:firstLine="720"/>
        <w:jc w:val="both"/>
        <w:rPr>
          <w:rFonts w:cs="Arial"/>
          <w:szCs w:val="24"/>
        </w:rPr>
      </w:pPr>
      <w:bookmarkStart w:id="0" w:name="_GoBack"/>
      <w:bookmarkEnd w:id="0"/>
      <w:r w:rsidRPr="009F75A7">
        <w:rPr>
          <w:rFonts w:cs="Arial"/>
          <w:szCs w:val="24"/>
        </w:rPr>
        <w:t>NATIONAL ASSEMBLY</w:t>
      </w:r>
    </w:p>
    <w:p w14:paraId="12FA1EE4" w14:textId="77777777" w:rsidR="00885214" w:rsidRDefault="00885214" w:rsidP="000F6AD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</w:p>
    <w:p w14:paraId="207FDA2F" w14:textId="77777777" w:rsidR="000F6AD9" w:rsidRPr="009F75A7" w:rsidRDefault="000F6AD9" w:rsidP="000F6AD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QUESTION No.</w:t>
      </w:r>
      <w:r>
        <w:rPr>
          <w:rFonts w:cs="Arial"/>
          <w:b/>
          <w:bCs/>
          <w:sz w:val="24"/>
          <w:szCs w:val="24"/>
          <w:u w:val="single"/>
          <w:lang w:val="en-GB" w:eastAsia="en-ZA"/>
        </w:rPr>
        <w:t xml:space="preserve"> 1889 – 2016</w:t>
      </w:r>
    </w:p>
    <w:p w14:paraId="63E2103E" w14:textId="77777777" w:rsidR="000F6AD9" w:rsidRPr="009F75A7" w:rsidRDefault="000F6AD9" w:rsidP="000F6AD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>
        <w:rPr>
          <w:rFonts w:cs="Arial"/>
          <w:b/>
          <w:bCs/>
          <w:sz w:val="24"/>
          <w:szCs w:val="24"/>
          <w:u w:val="single"/>
          <w:lang w:val="en-GB" w:eastAsia="en-ZA"/>
        </w:rPr>
        <w:t xml:space="preserve">FOR WRITTEN </w:t>
      </w: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REPLY</w:t>
      </w:r>
    </w:p>
    <w:p w14:paraId="72960C30" w14:textId="77777777" w:rsidR="000F6AD9" w:rsidRPr="009F75A7" w:rsidRDefault="000F6AD9" w:rsidP="000F6AD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lang w:val="en-GB" w:eastAsia="en-ZA"/>
        </w:rPr>
        <w:t>DATE OF PUBLICATION IN INTERNAL QUESTION PAPER:</w:t>
      </w:r>
      <w:r>
        <w:rPr>
          <w:rFonts w:cs="Arial"/>
          <w:b/>
          <w:bCs/>
          <w:sz w:val="24"/>
          <w:szCs w:val="24"/>
          <w:lang w:val="en-GB" w:eastAsia="en-ZA"/>
        </w:rPr>
        <w:t xml:space="preserve"> 16 SEPTEMBER 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 xml:space="preserve">2016: </w:t>
      </w:r>
      <w:r>
        <w:rPr>
          <w:rFonts w:cs="Arial"/>
          <w:b/>
          <w:bCs/>
          <w:sz w:val="24"/>
          <w:szCs w:val="24"/>
          <w:lang w:val="en-GB" w:eastAsia="en-ZA"/>
        </w:rPr>
        <w:t>(INTERNAL QUESTION PAPER N0. 28 - 2016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>)</w:t>
      </w:r>
    </w:p>
    <w:p w14:paraId="015E7C56" w14:textId="77777777" w:rsidR="000F6AD9" w:rsidRDefault="000F6AD9" w:rsidP="000F6AD9">
      <w:pPr>
        <w:spacing w:before="100" w:beforeAutospacing="1" w:after="100" w:afterAutospacing="1" w:line="360" w:lineRule="auto"/>
        <w:ind w:left="1440" w:hanging="1440"/>
        <w:jc w:val="both"/>
        <w:outlineLvl w:val="0"/>
        <w:rPr>
          <w:rFonts w:cs="Arial"/>
          <w:sz w:val="24"/>
          <w:szCs w:val="24"/>
          <w:lang w:val="en-GB"/>
        </w:rPr>
      </w:pPr>
      <w:r w:rsidRPr="009F75A7">
        <w:rPr>
          <w:rFonts w:cs="Arial"/>
          <w:bCs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 xml:space="preserve">Dr GA </w:t>
      </w:r>
      <w:proofErr w:type="spellStart"/>
      <w:r>
        <w:rPr>
          <w:rFonts w:cs="Arial"/>
          <w:b/>
          <w:sz w:val="24"/>
          <w:szCs w:val="24"/>
          <w:lang w:val="en-GB"/>
        </w:rPr>
        <w:t>Grootboom</w:t>
      </w:r>
      <w:proofErr w:type="spellEnd"/>
      <w:r w:rsidRPr="009F75A7">
        <w:rPr>
          <w:rFonts w:cs="Arial"/>
          <w:b/>
          <w:sz w:val="24"/>
          <w:szCs w:val="24"/>
          <w:lang w:val="en-GB"/>
        </w:rPr>
        <w:t xml:space="preserve"> (</w:t>
      </w:r>
      <w:r>
        <w:rPr>
          <w:rFonts w:cs="Arial"/>
          <w:b/>
          <w:sz w:val="24"/>
          <w:szCs w:val="24"/>
          <w:lang w:val="en-GB"/>
        </w:rPr>
        <w:t>DA</w:t>
      </w:r>
      <w:r w:rsidRPr="009F75A7">
        <w:rPr>
          <w:rFonts w:cs="Arial"/>
          <w:b/>
          <w:sz w:val="24"/>
          <w:szCs w:val="24"/>
          <w:lang w:val="en-GB"/>
        </w:rPr>
        <w:t>) to ask the Minister of Arts and Culture</w:t>
      </w:r>
      <w:r w:rsidRPr="009F75A7">
        <w:rPr>
          <w:rFonts w:cs="Arial"/>
          <w:sz w:val="24"/>
          <w:szCs w:val="24"/>
          <w:lang w:val="en-GB"/>
        </w:rPr>
        <w:t>:</w:t>
      </w:r>
    </w:p>
    <w:p w14:paraId="20D49C20" w14:textId="77777777" w:rsidR="000F6AD9" w:rsidRPr="005F37B7" w:rsidRDefault="000F6AD9" w:rsidP="000F6AD9">
      <w:pPr>
        <w:tabs>
          <w:tab w:val="left" w:pos="633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 xml:space="preserve">Whether the (a) Human Sciences Research Council, (b) Iziko Museums of South Africa, (c) KwaZulu-Natal Museum, (d) National Heritage Council and (e) </w:t>
      </w:r>
      <w:proofErr w:type="spellStart"/>
      <w:r>
        <w:rPr>
          <w:rFonts w:cs="Arial"/>
          <w:bCs/>
          <w:sz w:val="24"/>
          <w:szCs w:val="24"/>
          <w:lang w:val="en-GB" w:eastAsia="en-ZA"/>
        </w:rPr>
        <w:t>Msunduzi</w:t>
      </w:r>
      <w:proofErr w:type="spellEnd"/>
      <w:r>
        <w:rPr>
          <w:rFonts w:cs="Arial"/>
          <w:bCs/>
          <w:sz w:val="24"/>
          <w:szCs w:val="24"/>
          <w:lang w:val="en-GB" w:eastAsia="en-ZA"/>
        </w:rPr>
        <w:t xml:space="preserve"> and </w:t>
      </w:r>
      <w:proofErr w:type="spellStart"/>
      <w:r>
        <w:rPr>
          <w:rFonts w:cs="Arial"/>
          <w:bCs/>
          <w:sz w:val="24"/>
          <w:szCs w:val="24"/>
          <w:lang w:val="en-GB" w:eastAsia="en-ZA"/>
        </w:rPr>
        <w:t>Ncome</w:t>
      </w:r>
      <w:proofErr w:type="spellEnd"/>
      <w:r>
        <w:rPr>
          <w:rFonts w:cs="Arial"/>
          <w:bCs/>
          <w:sz w:val="24"/>
          <w:szCs w:val="24"/>
          <w:lang w:val="en-GB" w:eastAsia="en-ZA"/>
        </w:rPr>
        <w:t xml:space="preserve"> Museum C</w:t>
      </w:r>
      <w:r w:rsidRPr="005F37B7">
        <w:rPr>
          <w:rFonts w:cs="Arial"/>
          <w:bCs/>
          <w:sz w:val="24"/>
          <w:szCs w:val="24"/>
          <w:lang w:val="en-GB" w:eastAsia="en-ZA"/>
        </w:rPr>
        <w:t>ouncil complied with t</w:t>
      </w:r>
      <w:r>
        <w:rPr>
          <w:rFonts w:cs="Arial"/>
          <w:bCs/>
          <w:sz w:val="24"/>
          <w:szCs w:val="24"/>
          <w:lang w:val="en-GB" w:eastAsia="en-ZA"/>
        </w:rPr>
        <w:t>he provisions to implement the Use of Official Languages Act, No.</w:t>
      </w:r>
      <w:r w:rsidRPr="005F37B7">
        <w:rPr>
          <w:rFonts w:cs="Arial"/>
          <w:bCs/>
          <w:sz w:val="24"/>
          <w:szCs w:val="24"/>
          <w:lang w:val="en-GB" w:eastAsia="en-ZA"/>
        </w:rPr>
        <w:t xml:space="preserve"> 12 of 2012, by </w:t>
      </w:r>
      <w:r>
        <w:rPr>
          <w:rFonts w:cs="Arial"/>
          <w:bCs/>
          <w:sz w:val="24"/>
          <w:szCs w:val="24"/>
          <w:lang w:val="en-GB" w:eastAsia="en-ZA"/>
        </w:rPr>
        <w:t>M</w:t>
      </w:r>
      <w:r w:rsidRPr="005F37B7">
        <w:rPr>
          <w:rFonts w:cs="Arial"/>
          <w:bCs/>
          <w:sz w:val="24"/>
          <w:szCs w:val="24"/>
          <w:lang w:val="en-GB" w:eastAsia="en-ZA"/>
        </w:rPr>
        <w:t>ay 2015, after being granted a temporary exemption;</w:t>
      </w:r>
      <w:r>
        <w:rPr>
          <w:rFonts w:cs="Arial"/>
          <w:bCs/>
          <w:sz w:val="24"/>
          <w:szCs w:val="24"/>
          <w:lang w:val="en-GB" w:eastAsia="en-ZA"/>
        </w:rPr>
        <w:t xml:space="preserve"> </w:t>
      </w:r>
      <w:r w:rsidRPr="005F37B7">
        <w:rPr>
          <w:rFonts w:cs="Arial"/>
          <w:bCs/>
          <w:sz w:val="24"/>
          <w:szCs w:val="24"/>
          <w:lang w:val="en-GB" w:eastAsia="en-ZA"/>
        </w:rPr>
        <w:t>if not, (i) which of the specified entities did not comply and (ii) what steps did he take against the specified entities; if so, (aa) which of the specified entities complied and (bb) which languages has each of specified entities adopted</w:t>
      </w:r>
      <w:r>
        <w:rPr>
          <w:rFonts w:cs="Arial"/>
          <w:bCs/>
          <w:sz w:val="24"/>
          <w:szCs w:val="24"/>
          <w:lang w:val="en-GB" w:eastAsia="en-ZA"/>
        </w:rPr>
        <w:t>?</w:t>
      </w:r>
      <w:r w:rsidRPr="009F75A7">
        <w:rPr>
          <w:rFonts w:cs="Arial"/>
          <w:sz w:val="24"/>
          <w:szCs w:val="24"/>
          <w:lang w:val="en-GB"/>
        </w:rPr>
        <w:t xml:space="preserve">  </w:t>
      </w:r>
      <w:r>
        <w:rPr>
          <w:rFonts w:cs="Arial"/>
          <w:sz w:val="24"/>
          <w:szCs w:val="24"/>
          <w:lang w:val="en-GB"/>
        </w:rPr>
        <w:t xml:space="preserve">                                                                                   </w:t>
      </w:r>
      <w:r>
        <w:rPr>
          <w:rFonts w:cs="Arial"/>
          <w:b/>
          <w:sz w:val="24"/>
          <w:szCs w:val="24"/>
          <w:lang w:val="en-GB"/>
        </w:rPr>
        <w:t>NW219</w:t>
      </w:r>
      <w:r w:rsidRPr="009F75A7">
        <w:rPr>
          <w:rFonts w:cs="Arial"/>
          <w:b/>
          <w:sz w:val="24"/>
          <w:szCs w:val="24"/>
          <w:lang w:val="en-GB"/>
        </w:rPr>
        <w:t>9E</w:t>
      </w:r>
    </w:p>
    <w:p w14:paraId="177649E6" w14:textId="77777777" w:rsidR="000F6AD9" w:rsidRDefault="000F6AD9" w:rsidP="000F6AD9">
      <w:pPr>
        <w:spacing w:line="360" w:lineRule="auto"/>
        <w:jc w:val="both"/>
        <w:rPr>
          <w:rFonts w:cs="Arial"/>
          <w:b/>
          <w:sz w:val="24"/>
          <w:szCs w:val="24"/>
          <w:lang w:val="en-GB"/>
        </w:rPr>
      </w:pPr>
    </w:p>
    <w:p w14:paraId="2FFDCC78" w14:textId="77777777" w:rsidR="000F6AD9" w:rsidRPr="009459CF" w:rsidRDefault="000F6AD9" w:rsidP="000F6AD9">
      <w:pPr>
        <w:spacing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9F75A7">
        <w:rPr>
          <w:rFonts w:cs="Arial"/>
          <w:b/>
          <w:sz w:val="24"/>
          <w:szCs w:val="24"/>
          <w:lang w:val="en-GB"/>
        </w:rPr>
        <w:t>REPLY</w:t>
      </w:r>
    </w:p>
    <w:p w14:paraId="3699D380" w14:textId="77777777" w:rsidR="000F6AD9" w:rsidRPr="009F75A7" w:rsidRDefault="000F6AD9" w:rsidP="000F6AD9">
      <w:pPr>
        <w:spacing w:after="100" w:afterAutospacing="1" w:line="360" w:lineRule="auto"/>
        <w:jc w:val="both"/>
        <w:rPr>
          <w:rFonts w:cs="Arial"/>
          <w:sz w:val="24"/>
          <w:szCs w:val="24"/>
          <w:lang w:val="en-GB"/>
        </w:rPr>
      </w:pPr>
      <w:r w:rsidRPr="00CF2048">
        <w:rPr>
          <w:rFonts w:cs="Arial"/>
          <w:sz w:val="24"/>
          <w:szCs w:val="24"/>
          <w:lang w:val="en-GB"/>
        </w:rPr>
        <w:t xml:space="preserve">There is admissible evidence that all the </w:t>
      </w:r>
      <w:r>
        <w:rPr>
          <w:rFonts w:cs="Arial"/>
          <w:sz w:val="24"/>
          <w:szCs w:val="24"/>
          <w:lang w:val="en-GB"/>
        </w:rPr>
        <w:t xml:space="preserve">national </w:t>
      </w:r>
      <w:r w:rsidRPr="00CF2048">
        <w:rPr>
          <w:rFonts w:cs="Arial"/>
          <w:sz w:val="24"/>
          <w:szCs w:val="24"/>
          <w:lang w:val="en-GB"/>
        </w:rPr>
        <w:t xml:space="preserve">public entities </w:t>
      </w:r>
      <w:r>
        <w:rPr>
          <w:rFonts w:cs="Arial"/>
          <w:sz w:val="24"/>
          <w:szCs w:val="24"/>
          <w:lang w:val="en-GB"/>
        </w:rPr>
        <w:t xml:space="preserve">mentioned </w:t>
      </w:r>
      <w:proofErr w:type="gramStart"/>
      <w:r>
        <w:rPr>
          <w:rFonts w:cs="Arial"/>
          <w:sz w:val="24"/>
          <w:szCs w:val="24"/>
          <w:lang w:val="en-GB"/>
        </w:rPr>
        <w:t xml:space="preserve">above  </w:t>
      </w:r>
      <w:r w:rsidRPr="00CF2048">
        <w:rPr>
          <w:rFonts w:cs="Arial"/>
          <w:sz w:val="24"/>
          <w:szCs w:val="24"/>
          <w:lang w:val="en-GB"/>
        </w:rPr>
        <w:t>complied</w:t>
      </w:r>
      <w:proofErr w:type="gramEnd"/>
      <w:r w:rsidRPr="00CF2048">
        <w:rPr>
          <w:rFonts w:cs="Arial"/>
          <w:sz w:val="24"/>
          <w:szCs w:val="24"/>
          <w:lang w:val="en-GB"/>
        </w:rPr>
        <w:t xml:space="preserve"> with</w:t>
      </w:r>
      <w:r w:rsidRPr="00CF2048">
        <w:rPr>
          <w:rFonts w:cs="Arial"/>
          <w:bCs/>
          <w:sz w:val="24"/>
          <w:szCs w:val="24"/>
          <w:lang w:val="en-GB" w:eastAsia="en-ZA"/>
        </w:rPr>
        <w:t xml:space="preserve"> the implementation of the Use of Official Languages Act</w:t>
      </w:r>
      <w:r>
        <w:rPr>
          <w:rFonts w:cs="Arial"/>
          <w:bCs/>
          <w:sz w:val="24"/>
          <w:szCs w:val="24"/>
          <w:lang w:val="en-GB" w:eastAsia="en-ZA"/>
        </w:rPr>
        <w:t xml:space="preserve"> (the Act), No. 12 of 2012, by May 2015 except HSRC and Iziko.</w:t>
      </w:r>
    </w:p>
    <w:p w14:paraId="4653A4A9" w14:textId="77777777" w:rsidR="000F6AD9" w:rsidRDefault="000F6AD9" w:rsidP="000F6AD9">
      <w:pPr>
        <w:spacing w:line="360" w:lineRule="auto"/>
        <w:ind w:left="709" w:hanging="709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 xml:space="preserve">(a)     The Human Sciences Research Council (HSRC) gazetted its language policy on 18 March 2016 and indicating that it will utilise English, isiZulu and Sepedi for government purposes. </w:t>
      </w:r>
    </w:p>
    <w:p w14:paraId="11E0D0BF" w14:textId="77777777" w:rsidR="000F6AD9" w:rsidRDefault="000F6AD9" w:rsidP="000F6AD9">
      <w:pPr>
        <w:spacing w:line="360" w:lineRule="auto"/>
        <w:ind w:left="709" w:hanging="709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>(b)      Iziko Museums of South Africa gazetted its language policy on 9 October 2015 indicating that it will utilise Afrikaans, isiXhosa and English for government purposes.</w:t>
      </w:r>
    </w:p>
    <w:p w14:paraId="78B4F1B2" w14:textId="77777777" w:rsidR="000F6AD9" w:rsidRDefault="000F6AD9" w:rsidP="000F6AD9">
      <w:pPr>
        <w:tabs>
          <w:tab w:val="left" w:pos="709"/>
        </w:tabs>
        <w:spacing w:line="360" w:lineRule="auto"/>
        <w:ind w:left="709" w:hanging="709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>(c)   KwaZulu-Natal Museum gazetted its language policy on 31 March 2015 indicating that it will utilise English, isiZulu and Afrikaans for government purposes.</w:t>
      </w:r>
    </w:p>
    <w:p w14:paraId="50A9305A" w14:textId="77777777" w:rsidR="000F6AD9" w:rsidRDefault="000F6AD9" w:rsidP="000F6AD9">
      <w:pPr>
        <w:spacing w:line="360" w:lineRule="auto"/>
        <w:ind w:left="709" w:hanging="709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lastRenderedPageBreak/>
        <w:t xml:space="preserve"> (d)   National Heritage Council</w:t>
      </w:r>
      <w:r w:rsidRPr="00AD4FC0">
        <w:rPr>
          <w:rFonts w:cs="Arial"/>
          <w:bCs/>
          <w:sz w:val="24"/>
          <w:szCs w:val="24"/>
          <w:lang w:val="en-GB" w:eastAsia="en-ZA"/>
        </w:rPr>
        <w:t xml:space="preserve"> </w:t>
      </w:r>
      <w:r>
        <w:rPr>
          <w:rFonts w:cs="Arial"/>
          <w:bCs/>
          <w:sz w:val="24"/>
          <w:szCs w:val="24"/>
          <w:lang w:val="en-GB" w:eastAsia="en-ZA"/>
        </w:rPr>
        <w:t xml:space="preserve">gazetted its language policy on 30 March 2015 indicating that it will utilise English, Setswana and isiZulu for government purposes. </w:t>
      </w:r>
    </w:p>
    <w:p w14:paraId="05B0BBC0" w14:textId="77777777" w:rsidR="000F6AD9" w:rsidRDefault="000F6AD9" w:rsidP="000F6AD9">
      <w:pPr>
        <w:tabs>
          <w:tab w:val="left" w:pos="567"/>
        </w:tabs>
        <w:spacing w:line="360" w:lineRule="auto"/>
        <w:ind w:left="709" w:hanging="709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 xml:space="preserve"> (e)   </w:t>
      </w:r>
      <w:proofErr w:type="spellStart"/>
      <w:r>
        <w:rPr>
          <w:rFonts w:cs="Arial"/>
          <w:bCs/>
          <w:sz w:val="24"/>
          <w:szCs w:val="24"/>
          <w:lang w:val="en-GB" w:eastAsia="en-ZA"/>
        </w:rPr>
        <w:t>Msunduzi</w:t>
      </w:r>
      <w:proofErr w:type="spellEnd"/>
      <w:r>
        <w:rPr>
          <w:rFonts w:cs="Arial"/>
          <w:bCs/>
          <w:sz w:val="24"/>
          <w:szCs w:val="24"/>
          <w:lang w:val="en-GB" w:eastAsia="en-ZA"/>
        </w:rPr>
        <w:t xml:space="preserve"> and </w:t>
      </w:r>
      <w:proofErr w:type="spellStart"/>
      <w:r>
        <w:rPr>
          <w:rFonts w:cs="Arial"/>
          <w:bCs/>
          <w:sz w:val="24"/>
          <w:szCs w:val="24"/>
          <w:lang w:val="en-GB" w:eastAsia="en-ZA"/>
        </w:rPr>
        <w:t>Ncome</w:t>
      </w:r>
      <w:proofErr w:type="spellEnd"/>
      <w:r>
        <w:rPr>
          <w:rFonts w:cs="Arial"/>
          <w:bCs/>
          <w:sz w:val="24"/>
          <w:szCs w:val="24"/>
          <w:lang w:val="en-GB" w:eastAsia="en-ZA"/>
        </w:rPr>
        <w:t xml:space="preserve"> Museum C</w:t>
      </w:r>
      <w:r w:rsidRPr="005F37B7">
        <w:rPr>
          <w:rFonts w:cs="Arial"/>
          <w:bCs/>
          <w:sz w:val="24"/>
          <w:szCs w:val="24"/>
          <w:lang w:val="en-GB" w:eastAsia="en-ZA"/>
        </w:rPr>
        <w:t>ouncil</w:t>
      </w:r>
      <w:r>
        <w:rPr>
          <w:rFonts w:cs="Arial"/>
          <w:bCs/>
          <w:sz w:val="24"/>
          <w:szCs w:val="24"/>
          <w:lang w:val="en-GB" w:eastAsia="en-ZA"/>
        </w:rPr>
        <w:t xml:space="preserve"> gazetted its language policy on 30 March 2015 indicating that it will utilise English, isiZulu and Afrikaans for government purposes.  </w:t>
      </w:r>
    </w:p>
    <w:p w14:paraId="681F5A10" w14:textId="77777777" w:rsidR="000F6AD9" w:rsidRDefault="000F6AD9" w:rsidP="000F6AD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709" w:hanging="619"/>
        <w:jc w:val="both"/>
        <w:rPr>
          <w:rFonts w:cs="Arial"/>
          <w:b/>
          <w:sz w:val="24"/>
          <w:szCs w:val="24"/>
          <w:lang w:val="en-GB"/>
        </w:rPr>
      </w:pPr>
      <w:r w:rsidRPr="00CD0220">
        <w:rPr>
          <w:rFonts w:cs="Arial"/>
          <w:b/>
          <w:sz w:val="24"/>
          <w:szCs w:val="24"/>
          <w:lang w:val="en-GB"/>
        </w:rPr>
        <w:t xml:space="preserve">Institutions that did not comply by May 2015 </w:t>
      </w:r>
    </w:p>
    <w:p w14:paraId="15CF0330" w14:textId="77777777" w:rsidR="000F6AD9" w:rsidRPr="00CD0220" w:rsidRDefault="000F6AD9" w:rsidP="000F6AD9">
      <w:pPr>
        <w:pStyle w:val="ListParagraph"/>
        <w:tabs>
          <w:tab w:val="left" w:pos="567"/>
        </w:tabs>
        <w:spacing w:line="240" w:lineRule="auto"/>
        <w:ind w:left="709"/>
        <w:jc w:val="both"/>
        <w:rPr>
          <w:rFonts w:cs="Arial"/>
          <w:b/>
          <w:sz w:val="24"/>
          <w:szCs w:val="24"/>
          <w:lang w:val="en-GB"/>
        </w:rPr>
      </w:pPr>
    </w:p>
    <w:p w14:paraId="41BA0714" w14:textId="77777777" w:rsidR="000F6AD9" w:rsidRDefault="000F6AD9" w:rsidP="000F6AD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Cs/>
          <w:sz w:val="24"/>
          <w:szCs w:val="24"/>
          <w:lang w:val="en-GB" w:eastAsia="en-ZA"/>
        </w:rPr>
      </w:pPr>
      <w:r w:rsidRPr="00CD0220">
        <w:rPr>
          <w:rFonts w:cs="Arial"/>
          <w:bCs/>
          <w:sz w:val="24"/>
          <w:szCs w:val="24"/>
          <w:lang w:val="en-GB" w:eastAsia="en-ZA"/>
        </w:rPr>
        <w:t xml:space="preserve">Iziko Museums of South Africa complied by 9 October 2015 </w:t>
      </w:r>
    </w:p>
    <w:p w14:paraId="18AE5E6A" w14:textId="77777777" w:rsidR="000F6AD9" w:rsidRPr="00CD0220" w:rsidRDefault="000F6AD9" w:rsidP="000F6AD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 xml:space="preserve">The </w:t>
      </w:r>
      <w:r w:rsidRPr="00CD0220">
        <w:rPr>
          <w:rFonts w:cs="Arial"/>
          <w:bCs/>
          <w:sz w:val="24"/>
          <w:szCs w:val="24"/>
          <w:lang w:val="en-GB" w:eastAsia="en-ZA"/>
        </w:rPr>
        <w:t xml:space="preserve">Human Sciences Research Council </w:t>
      </w:r>
      <w:r>
        <w:rPr>
          <w:rFonts w:cs="Arial"/>
          <w:bCs/>
          <w:sz w:val="24"/>
          <w:szCs w:val="24"/>
          <w:lang w:val="en-GB" w:eastAsia="en-ZA"/>
        </w:rPr>
        <w:t xml:space="preserve">(HSRC) </w:t>
      </w:r>
      <w:r w:rsidRPr="00CD0220">
        <w:rPr>
          <w:rFonts w:cs="Arial"/>
          <w:bCs/>
          <w:sz w:val="24"/>
          <w:szCs w:val="24"/>
          <w:lang w:val="en-GB" w:eastAsia="en-ZA"/>
        </w:rPr>
        <w:t>complied by 18 March 2016</w:t>
      </w:r>
    </w:p>
    <w:p w14:paraId="7468BB4E" w14:textId="77777777" w:rsidR="000F6AD9" w:rsidRPr="00CD0220" w:rsidRDefault="000F6AD9" w:rsidP="000F6AD9">
      <w:pPr>
        <w:tabs>
          <w:tab w:val="left" w:pos="567"/>
        </w:tabs>
        <w:spacing w:line="360" w:lineRule="auto"/>
        <w:ind w:firstLine="90"/>
        <w:jc w:val="both"/>
        <w:rPr>
          <w:rFonts w:cs="Arial"/>
          <w:b/>
          <w:sz w:val="24"/>
          <w:szCs w:val="24"/>
          <w:lang w:val="en-GB"/>
        </w:rPr>
      </w:pPr>
      <w:r w:rsidRPr="008966BC">
        <w:rPr>
          <w:rFonts w:cs="Arial"/>
          <w:b/>
          <w:bCs/>
          <w:sz w:val="24"/>
          <w:szCs w:val="24"/>
          <w:lang w:val="en-GB" w:eastAsia="en-ZA"/>
        </w:rPr>
        <w:t>(ii)</w:t>
      </w:r>
      <w:r w:rsidRPr="008966BC">
        <w:rPr>
          <w:rFonts w:cs="Arial"/>
          <w:b/>
          <w:bCs/>
          <w:sz w:val="24"/>
          <w:szCs w:val="24"/>
          <w:lang w:val="en-GB" w:eastAsia="en-ZA"/>
        </w:rPr>
        <w:tab/>
      </w:r>
      <w:r>
        <w:rPr>
          <w:rFonts w:cs="Arial"/>
          <w:b/>
          <w:sz w:val="24"/>
          <w:szCs w:val="24"/>
          <w:lang w:val="en-GB"/>
        </w:rPr>
        <w:t>S</w:t>
      </w:r>
      <w:r w:rsidRPr="00CD0220">
        <w:rPr>
          <w:rFonts w:cs="Arial"/>
          <w:b/>
          <w:sz w:val="24"/>
          <w:szCs w:val="24"/>
          <w:lang w:val="en-GB"/>
        </w:rPr>
        <w:t xml:space="preserve">teps taken to encourage </w:t>
      </w:r>
      <w:r>
        <w:rPr>
          <w:rFonts w:cs="Arial"/>
          <w:b/>
          <w:sz w:val="24"/>
          <w:szCs w:val="24"/>
          <w:lang w:val="en-GB"/>
        </w:rPr>
        <w:t>entities</w:t>
      </w:r>
      <w:r w:rsidRPr="00CD0220">
        <w:rPr>
          <w:rFonts w:cs="Arial"/>
          <w:b/>
          <w:sz w:val="24"/>
          <w:szCs w:val="24"/>
          <w:lang w:val="en-GB"/>
        </w:rPr>
        <w:t xml:space="preserve"> to comply with the Act</w:t>
      </w:r>
    </w:p>
    <w:p w14:paraId="70E6A561" w14:textId="77777777" w:rsidR="000F6AD9" w:rsidRPr="008966BC" w:rsidRDefault="000F6AD9" w:rsidP="000F6AD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 w:eastAsia="en-ZA"/>
        </w:rPr>
        <w:t xml:space="preserve">The </w:t>
      </w:r>
      <w:r w:rsidRPr="008966BC">
        <w:rPr>
          <w:rFonts w:cs="Arial"/>
          <w:bCs/>
          <w:sz w:val="24"/>
          <w:szCs w:val="24"/>
          <w:lang w:val="en-GB" w:eastAsia="en-ZA"/>
        </w:rPr>
        <w:t xml:space="preserve">Department of Arts and Culture (DAC) organised a workshop with </w:t>
      </w:r>
      <w:r>
        <w:rPr>
          <w:rFonts w:cs="Arial"/>
          <w:bCs/>
          <w:sz w:val="24"/>
          <w:szCs w:val="24"/>
          <w:lang w:val="en-GB" w:eastAsia="en-ZA"/>
        </w:rPr>
        <w:t>national</w:t>
      </w:r>
      <w:r w:rsidRPr="008966BC">
        <w:rPr>
          <w:rFonts w:cs="Arial"/>
          <w:bCs/>
          <w:sz w:val="24"/>
          <w:szCs w:val="24"/>
          <w:lang w:val="en-GB" w:eastAsia="en-ZA"/>
        </w:rPr>
        <w:t xml:space="preserve"> government departments to encourage them to facilitate implementation of the Act with </w:t>
      </w:r>
      <w:r>
        <w:rPr>
          <w:rFonts w:cs="Arial"/>
          <w:bCs/>
          <w:sz w:val="24"/>
          <w:szCs w:val="24"/>
          <w:lang w:val="en-GB" w:eastAsia="en-ZA"/>
        </w:rPr>
        <w:t>the</w:t>
      </w:r>
      <w:r w:rsidRPr="008966BC">
        <w:rPr>
          <w:rFonts w:cs="Arial"/>
          <w:bCs/>
          <w:sz w:val="24"/>
          <w:szCs w:val="24"/>
          <w:lang w:val="en-GB" w:eastAsia="en-ZA"/>
        </w:rPr>
        <w:t xml:space="preserve"> national public entities</w:t>
      </w:r>
      <w:r>
        <w:rPr>
          <w:rFonts w:cs="Arial"/>
          <w:bCs/>
          <w:sz w:val="24"/>
          <w:szCs w:val="24"/>
          <w:lang w:val="en-GB" w:eastAsia="en-ZA"/>
        </w:rPr>
        <w:t xml:space="preserve"> reporting to them.</w:t>
      </w:r>
    </w:p>
    <w:p w14:paraId="5B6378CA" w14:textId="77777777" w:rsidR="000F6AD9" w:rsidRPr="008966BC" w:rsidRDefault="000F6AD9" w:rsidP="000F6AD9">
      <w:pPr>
        <w:pStyle w:val="ListParagraph"/>
        <w:numPr>
          <w:ilvl w:val="0"/>
          <w:numId w:val="3"/>
        </w:numPr>
        <w:spacing w:line="360" w:lineRule="auto"/>
        <w:ind w:hanging="306"/>
        <w:jc w:val="both"/>
        <w:rPr>
          <w:rFonts w:cs="Arial"/>
          <w:sz w:val="24"/>
          <w:szCs w:val="24"/>
          <w:lang w:val="en-GB"/>
        </w:rPr>
      </w:pPr>
      <w:r w:rsidRPr="008966BC">
        <w:rPr>
          <w:rFonts w:cs="Arial"/>
          <w:bCs/>
          <w:sz w:val="24"/>
          <w:szCs w:val="24"/>
          <w:lang w:val="en-GB" w:eastAsia="en-ZA"/>
        </w:rPr>
        <w:t>DAC appointed a service provider to facilitate the implementation of the Act with all non-complying institutions.</w:t>
      </w:r>
    </w:p>
    <w:p w14:paraId="121DD5A5" w14:textId="77777777" w:rsidR="00323909" w:rsidRDefault="00323909"/>
    <w:sectPr w:rsidR="00323909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3A"/>
    <w:multiLevelType w:val="hybridMultilevel"/>
    <w:tmpl w:val="3D568B88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30854D6"/>
    <w:multiLevelType w:val="hybridMultilevel"/>
    <w:tmpl w:val="D88CF440"/>
    <w:lvl w:ilvl="0" w:tplc="F2263AA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E00AEB"/>
    <w:multiLevelType w:val="hybridMultilevel"/>
    <w:tmpl w:val="29D8CD24"/>
    <w:lvl w:ilvl="0" w:tplc="1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069BA"/>
    <w:rsid w:val="00055D6D"/>
    <w:rsid w:val="000F6AD9"/>
    <w:rsid w:val="00167896"/>
    <w:rsid w:val="002B167E"/>
    <w:rsid w:val="00323909"/>
    <w:rsid w:val="004017B7"/>
    <w:rsid w:val="00810F7E"/>
    <w:rsid w:val="00885214"/>
    <w:rsid w:val="009B2E38"/>
    <w:rsid w:val="00A21AB1"/>
    <w:rsid w:val="00B21A3C"/>
    <w:rsid w:val="00B80C8F"/>
    <w:rsid w:val="00D43CD6"/>
    <w:rsid w:val="00DE0A89"/>
    <w:rsid w:val="00E659AC"/>
    <w:rsid w:val="00E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16D3D"/>
  <w15:docId w15:val="{80E897A9-37D5-418E-AB87-6874B7D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6AD9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F6AD9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ACBODYTEXT">
    <w:name w:val="DAC BODY TEXT"/>
    <w:basedOn w:val="Normal"/>
    <w:qFormat/>
    <w:rsid w:val="000F6AD9"/>
    <w:pPr>
      <w:ind w:left="993"/>
    </w:pPr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0F6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D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Gcina Matakane</cp:lastModifiedBy>
  <cp:revision>2</cp:revision>
  <cp:lastPrinted>2016-09-20T11:56:00Z</cp:lastPrinted>
  <dcterms:created xsi:type="dcterms:W3CDTF">2016-09-26T07:00:00Z</dcterms:created>
  <dcterms:modified xsi:type="dcterms:W3CDTF">2016-09-26T07:00:00Z</dcterms:modified>
</cp:coreProperties>
</file>