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435D4" w:rsidRPr="00DC6183" w:rsidRDefault="00A435D4" w:rsidP="00A435D4">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435D4" w:rsidRPr="00DC6183" w:rsidRDefault="00A435D4" w:rsidP="00A435D4">
      <w:pPr>
        <w:jc w:val="center"/>
        <w:rPr>
          <w:rFonts w:ascii="Arial" w:hAnsi="Arial" w:cs="Arial"/>
          <w:b/>
          <w:bCs/>
          <w:lang w:val="en-ZA"/>
        </w:rPr>
      </w:pPr>
      <w:r w:rsidRPr="00DC6183">
        <w:rPr>
          <w:rFonts w:ascii="Arial" w:hAnsi="Arial" w:cs="Arial"/>
          <w:b/>
          <w:bCs/>
          <w:lang w:val="en-ZA"/>
        </w:rPr>
        <w:t>FOR WRITTEN REPLY</w:t>
      </w:r>
    </w:p>
    <w:p w:rsidR="00A435D4" w:rsidRPr="00DC6183" w:rsidRDefault="00A435D4" w:rsidP="00A435D4">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1886</w:t>
      </w:r>
    </w:p>
    <w:p w:rsidR="00A435D4" w:rsidRPr="00DC6183" w:rsidRDefault="00A435D4" w:rsidP="00A435D4">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13</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22</w:t>
      </w:r>
    </w:p>
    <w:p w:rsidR="00A435D4" w:rsidRPr="00FF2AAB" w:rsidRDefault="00A435D4" w:rsidP="00A435D4">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17</w:t>
      </w:r>
      <w:r w:rsidRPr="00DC6183">
        <w:rPr>
          <w:rFonts w:ascii="Arial" w:hAnsi="Arial" w:cs="Arial"/>
          <w:b/>
          <w:bCs/>
          <w:lang w:val="en-ZA"/>
        </w:rPr>
        <w:t xml:space="preserve"> OF 20</w:t>
      </w:r>
      <w:r>
        <w:rPr>
          <w:rFonts w:ascii="Arial" w:hAnsi="Arial" w:cs="Arial"/>
          <w:b/>
          <w:bCs/>
          <w:lang w:val="en-ZA"/>
        </w:rPr>
        <w:t>22</w:t>
      </w:r>
    </w:p>
    <w:p w:rsidR="00A435D4" w:rsidRPr="006D7EA8" w:rsidRDefault="00A435D4" w:rsidP="00A435D4">
      <w:pPr>
        <w:spacing w:before="100" w:beforeAutospacing="1" w:after="100" w:afterAutospacing="1" w:line="360" w:lineRule="auto"/>
        <w:ind w:left="720" w:hanging="720"/>
        <w:jc w:val="both"/>
        <w:outlineLvl w:val="0"/>
        <w:rPr>
          <w:rFonts w:ascii="Arial" w:hAnsi="Arial" w:cs="Arial"/>
          <w:b/>
          <w:bCs/>
        </w:rPr>
      </w:pPr>
      <w:r w:rsidRPr="006D7EA8">
        <w:rPr>
          <w:rFonts w:ascii="Arial" w:hAnsi="Arial" w:cs="Arial"/>
          <w:b/>
          <w:lang w:val="en-ZA"/>
        </w:rPr>
        <w:t xml:space="preserve">Ms C V King (DA) to ask the Minister of </w:t>
      </w:r>
      <w:r w:rsidRPr="006D7EA8">
        <w:rPr>
          <w:rFonts w:ascii="Arial" w:hAnsi="Arial" w:cs="Arial"/>
          <w:b/>
          <w:bCs/>
        </w:rPr>
        <w:t>Higher Education, Science and Innovation</w:t>
      </w:r>
      <w:r w:rsidR="007710F0" w:rsidRPr="006D7EA8">
        <w:rPr>
          <w:rFonts w:ascii="Arial" w:hAnsi="Arial" w:cs="Arial"/>
          <w:b/>
          <w:bCs/>
        </w:rPr>
        <w:fldChar w:fldCharType="begin"/>
      </w:r>
      <w:r w:rsidRPr="006D7EA8">
        <w:rPr>
          <w:rFonts w:ascii="Arial" w:hAnsi="Arial" w:cs="Arial"/>
          <w:lang w:val="en-ZA"/>
        </w:rPr>
        <w:instrText xml:space="preserve"> XE "</w:instrText>
      </w:r>
      <w:r w:rsidRPr="006D7EA8">
        <w:rPr>
          <w:rFonts w:ascii="Arial" w:hAnsi="Arial" w:cs="Arial"/>
          <w:b/>
          <w:bCs/>
          <w:lang w:val="en-ZA"/>
        </w:rPr>
        <w:instrText>Higher Education, Science and Innovation</w:instrText>
      </w:r>
      <w:r w:rsidRPr="006D7EA8">
        <w:rPr>
          <w:rFonts w:ascii="Arial" w:hAnsi="Arial" w:cs="Arial"/>
          <w:lang w:val="en-ZA"/>
        </w:rPr>
        <w:instrText xml:space="preserve">" </w:instrText>
      </w:r>
      <w:r w:rsidR="007710F0" w:rsidRPr="006D7EA8">
        <w:rPr>
          <w:rFonts w:ascii="Arial" w:hAnsi="Arial" w:cs="Arial"/>
          <w:b/>
          <w:bCs/>
        </w:rPr>
        <w:fldChar w:fldCharType="end"/>
      </w:r>
      <w:r w:rsidRPr="006D7EA8">
        <w:rPr>
          <w:rFonts w:ascii="Arial" w:hAnsi="Arial" w:cs="Arial"/>
          <w:b/>
          <w:bCs/>
        </w:rPr>
        <w:t>:</w:t>
      </w:r>
    </w:p>
    <w:p w:rsidR="00A435D4" w:rsidRDefault="00A435D4" w:rsidP="00A435D4">
      <w:pPr>
        <w:spacing w:before="100" w:beforeAutospacing="1" w:after="100" w:afterAutospacing="1" w:line="360" w:lineRule="auto"/>
        <w:ind w:left="720"/>
        <w:jc w:val="both"/>
        <w:outlineLvl w:val="0"/>
        <w:rPr>
          <w:rFonts w:ascii="Arial" w:hAnsi="Arial" w:cs="Arial"/>
          <w:lang w:val="en-ZA"/>
        </w:rPr>
      </w:pPr>
      <w:r w:rsidRPr="003617F5">
        <w:rPr>
          <w:rFonts w:ascii="Arial" w:hAnsi="Arial" w:cs="Arial"/>
          <w:lang w:val="en-ZA"/>
        </w:rPr>
        <w:t xml:space="preserve">What are the details of the outcomes of the latest skills audit of municipal councillors conducted by the </w:t>
      </w:r>
      <w:r w:rsidRPr="003617F5">
        <w:rPr>
          <w:rFonts w:ascii="Arial" w:hAnsi="Arial" w:cs="Arial"/>
          <w:bCs/>
          <w:lang w:val="en-ZA"/>
        </w:rPr>
        <w:t xml:space="preserve">Local </w:t>
      </w:r>
      <w:r w:rsidRPr="003617F5">
        <w:rPr>
          <w:rFonts w:ascii="Arial" w:hAnsi="Arial" w:cs="Arial"/>
        </w:rPr>
        <w:t>Government</w:t>
      </w:r>
      <w:r w:rsidRPr="003617F5">
        <w:rPr>
          <w:rFonts w:ascii="Arial" w:hAnsi="Arial" w:cs="Arial"/>
          <w:bCs/>
          <w:lang w:val="en-ZA"/>
        </w:rPr>
        <w:t xml:space="preserve"> Sector Education and Training Authority</w:t>
      </w:r>
      <w:r w:rsidRPr="003617F5">
        <w:rPr>
          <w:rFonts w:ascii="Arial" w:hAnsi="Arial" w:cs="Arial"/>
          <w:lang w:val="en-ZA"/>
        </w:rPr>
        <w:t>?</w:t>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r w:rsidRPr="003617F5">
        <w:rPr>
          <w:rFonts w:ascii="Arial" w:hAnsi="Arial" w:cs="Arial"/>
          <w:lang w:val="en-ZA"/>
        </w:rPr>
        <w:tab/>
      </w:r>
    </w:p>
    <w:p w:rsidR="00A435D4" w:rsidRPr="003617F5" w:rsidRDefault="00A435D4" w:rsidP="00A435D4">
      <w:pPr>
        <w:spacing w:before="100" w:beforeAutospacing="1" w:after="100" w:afterAutospacing="1" w:line="360" w:lineRule="auto"/>
        <w:ind w:left="7200" w:firstLine="720"/>
        <w:jc w:val="both"/>
        <w:outlineLvl w:val="0"/>
        <w:rPr>
          <w:rFonts w:ascii="Arial" w:hAnsi="Arial" w:cs="Arial"/>
          <w:b/>
          <w:lang w:val="en-ZA"/>
        </w:rPr>
      </w:pPr>
      <w:r w:rsidRPr="003617F5">
        <w:rPr>
          <w:rFonts w:ascii="Arial" w:hAnsi="Arial" w:cs="Arial"/>
          <w:b/>
          <w:lang w:val="en-ZA"/>
        </w:rPr>
        <w:t>NW2222E</w:t>
      </w:r>
    </w:p>
    <w:p w:rsidR="00A435D4" w:rsidRPr="00D93458" w:rsidRDefault="00A435D4" w:rsidP="00A435D4">
      <w:pPr>
        <w:spacing w:before="240" w:after="160" w:line="360" w:lineRule="auto"/>
        <w:ind w:left="7909" w:firstLine="11"/>
        <w:jc w:val="both"/>
        <w:rPr>
          <w:rFonts w:ascii="Times New Roman" w:hAnsi="Times New Roman" w:cs="Times New Roman"/>
          <w:b/>
          <w:sz w:val="20"/>
          <w:szCs w:val="20"/>
          <w:lang w:val="en-ZA"/>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p>
    <w:p w:rsidR="00A435D4" w:rsidRDefault="00A435D4" w:rsidP="00A435D4">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bookmarkEnd w:id="0"/>
    <w:p w:rsidR="00A435D4" w:rsidRPr="00AB4DE3" w:rsidRDefault="00A435D4" w:rsidP="00A435D4">
      <w:pPr>
        <w:spacing w:before="100" w:beforeAutospacing="1" w:after="100" w:afterAutospacing="1" w:line="360" w:lineRule="auto"/>
        <w:ind w:left="285"/>
        <w:jc w:val="both"/>
        <w:rPr>
          <w:rFonts w:ascii="Arial" w:eastAsia="Times New Roman" w:hAnsi="Arial" w:cs="Arial"/>
          <w:lang w:val="en-ZA" w:eastAsia="en-ZA"/>
        </w:rPr>
      </w:pPr>
      <w:r w:rsidRPr="00AB4DE3">
        <w:rPr>
          <w:rFonts w:ascii="Arial" w:eastAsia="Times New Roman" w:hAnsi="Arial" w:cs="Arial"/>
          <w:lang w:val="en-ZA" w:eastAsia="en-ZA"/>
        </w:rPr>
        <w:t>The Local Government Sector Education and Training Authority (LGSETA) as directed by the Skills Develop</w:t>
      </w:r>
      <w:bookmarkStart w:id="1" w:name="_GoBack"/>
      <w:bookmarkEnd w:id="1"/>
      <w:r w:rsidRPr="00AB4DE3">
        <w:rPr>
          <w:rFonts w:ascii="Arial" w:eastAsia="Times New Roman" w:hAnsi="Arial" w:cs="Arial"/>
          <w:lang w:val="en-ZA" w:eastAsia="en-ZA"/>
        </w:rPr>
        <w:t>ment Act (Act No.97 of 1998) annually develops Sector Skills Plans (SSPs) which identify, amongst others, Top Ten Sectoral Priority Occupations required by the Sector and Intervention Measures. </w:t>
      </w:r>
    </w:p>
    <w:p w:rsidR="00A435D4" w:rsidRPr="00AB4DE3" w:rsidRDefault="00A435D4" w:rsidP="00A435D4">
      <w:pPr>
        <w:spacing w:before="100" w:beforeAutospacing="1" w:after="100" w:afterAutospacing="1" w:line="360" w:lineRule="auto"/>
        <w:ind w:left="285"/>
        <w:jc w:val="both"/>
        <w:rPr>
          <w:rFonts w:ascii="Arial" w:eastAsia="Times New Roman" w:hAnsi="Arial" w:cs="Arial"/>
          <w:lang w:val="en-ZA" w:eastAsia="en-ZA"/>
        </w:rPr>
      </w:pPr>
      <w:r w:rsidRPr="00AB4DE3">
        <w:rPr>
          <w:rFonts w:ascii="Arial" w:eastAsia="Times New Roman" w:hAnsi="Arial" w:cs="Arial"/>
          <w:lang w:val="en-ZA" w:eastAsia="en-ZA"/>
        </w:rPr>
        <w:t>In order to respond to the capacity building needs of the municipalities, the LGSETA has developed a Councillor Development Strategy in collaboration with relevant parties in response to capacitating newly appointed and returning councillors with the necessary skills and competencies to discharge their roles and responsibilities as assigned in their respective portfolios over the next five years.   The Councillor Development Strategy has three pillars namely: 1) councillor development and skills audit; 2) function-based training and development; and 3) soft skills development. </w:t>
      </w:r>
    </w:p>
    <w:p w:rsidR="00A435D4" w:rsidRPr="00AB4DE3" w:rsidRDefault="00A435D4" w:rsidP="00A435D4">
      <w:pPr>
        <w:spacing w:before="100" w:beforeAutospacing="1" w:after="100" w:afterAutospacing="1" w:line="360" w:lineRule="auto"/>
        <w:ind w:left="285"/>
        <w:jc w:val="both"/>
        <w:rPr>
          <w:rFonts w:ascii="Arial" w:eastAsia="Times New Roman" w:hAnsi="Arial" w:cs="Arial"/>
          <w:lang w:val="en-ZA" w:eastAsia="en-ZA"/>
        </w:rPr>
      </w:pPr>
      <w:r w:rsidRPr="00AB4DE3">
        <w:rPr>
          <w:rFonts w:ascii="Arial" w:eastAsia="Times New Roman" w:hAnsi="Arial" w:cs="Arial"/>
          <w:lang w:val="en-ZA" w:eastAsia="en-ZA"/>
        </w:rPr>
        <w:t>The Councillor Development Strategy further outlines a list of skills that were informed by the previous audit and implementation of councillor training which will be used to guide any future skills priorities:</w:t>
      </w:r>
    </w:p>
    <w:tbl>
      <w:tblPr>
        <w:tblW w:w="89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5528"/>
      </w:tblGrid>
      <w:tr w:rsidR="00A435D4" w:rsidRPr="00AB4DE3" w:rsidTr="00FA1E22">
        <w:trPr>
          <w:trHeight w:val="178"/>
          <w:tblCellSpacing w:w="0" w:type="dxa"/>
        </w:trPr>
        <w:tc>
          <w:tcPr>
            <w:tcW w:w="3402"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A435D4" w:rsidRPr="00AB4DE3" w:rsidRDefault="00A435D4" w:rsidP="00FA1E22">
            <w:pPr>
              <w:spacing w:before="100" w:beforeAutospacing="1" w:after="100" w:afterAutospacing="1" w:line="360" w:lineRule="auto"/>
              <w:ind w:left="285"/>
              <w:jc w:val="both"/>
              <w:rPr>
                <w:rFonts w:ascii="Arial" w:eastAsia="Times New Roman" w:hAnsi="Arial" w:cs="Arial"/>
                <w:lang w:val="en-ZA" w:eastAsia="en-ZA"/>
              </w:rPr>
            </w:pPr>
            <w:r w:rsidRPr="00AB4DE3">
              <w:rPr>
                <w:rFonts w:ascii="Arial" w:eastAsia="Times New Roman" w:hAnsi="Arial" w:cs="Arial"/>
                <w:b/>
                <w:bCs/>
                <w:lang w:val="en-ZA" w:eastAsia="en-ZA"/>
              </w:rPr>
              <w:t>Municipal Key Performance Area</w:t>
            </w:r>
          </w:p>
        </w:tc>
        <w:tc>
          <w:tcPr>
            <w:tcW w:w="552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A435D4" w:rsidRPr="00AB4DE3" w:rsidRDefault="00A435D4" w:rsidP="00FA1E22">
            <w:pPr>
              <w:spacing w:before="100" w:beforeAutospacing="1" w:after="100" w:afterAutospacing="1" w:line="360" w:lineRule="auto"/>
              <w:ind w:left="285"/>
              <w:jc w:val="both"/>
              <w:rPr>
                <w:rFonts w:ascii="Arial" w:eastAsia="Times New Roman" w:hAnsi="Arial" w:cs="Arial"/>
                <w:lang w:val="en-ZA" w:eastAsia="en-ZA"/>
              </w:rPr>
            </w:pPr>
            <w:r w:rsidRPr="00AB4DE3">
              <w:rPr>
                <w:rFonts w:ascii="Arial" w:eastAsia="Times New Roman" w:hAnsi="Arial" w:cs="Arial"/>
                <w:b/>
                <w:bCs/>
                <w:lang w:val="en-ZA" w:eastAsia="en-ZA"/>
              </w:rPr>
              <w:t>Key Skills Gaps Identified</w:t>
            </w:r>
          </w:p>
        </w:tc>
      </w:tr>
      <w:tr w:rsidR="00A435D4" w:rsidRPr="00AB4DE3" w:rsidTr="00FA1E22">
        <w:trPr>
          <w:trHeight w:val="1069"/>
          <w:tblCellSpacing w:w="0" w:type="dxa"/>
        </w:trPr>
        <w:tc>
          <w:tcPr>
            <w:tcW w:w="3402" w:type="dxa"/>
            <w:tcBorders>
              <w:top w:val="outset" w:sz="6" w:space="0" w:color="000000"/>
              <w:left w:val="outset" w:sz="6" w:space="0" w:color="000000"/>
              <w:bottom w:val="outset" w:sz="6" w:space="0" w:color="000000"/>
              <w:right w:val="outset" w:sz="6" w:space="0" w:color="000000"/>
            </w:tcBorders>
            <w:hideMark/>
          </w:tcPr>
          <w:p w:rsidR="00A435D4" w:rsidRPr="00AB4DE3" w:rsidRDefault="00A435D4" w:rsidP="00FA1E22">
            <w:p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Municipal Financial Management</w:t>
            </w:r>
          </w:p>
        </w:tc>
        <w:tc>
          <w:tcPr>
            <w:tcW w:w="5528" w:type="dxa"/>
            <w:tcBorders>
              <w:top w:val="outset" w:sz="6" w:space="0" w:color="auto"/>
              <w:left w:val="outset" w:sz="6" w:space="0" w:color="auto"/>
              <w:bottom w:val="outset" w:sz="6" w:space="0" w:color="auto"/>
              <w:right w:val="outset" w:sz="6" w:space="0" w:color="auto"/>
            </w:tcBorders>
            <w:hideMark/>
          </w:tcPr>
          <w:p w:rsidR="00A435D4" w:rsidRPr="00AB4DE3" w:rsidRDefault="00A435D4" w:rsidP="00A435D4">
            <w:pPr>
              <w:numPr>
                <w:ilvl w:val="0"/>
                <w:numId w:val="25"/>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Financial Governance</w:t>
            </w:r>
          </w:p>
          <w:p w:rsidR="00A435D4" w:rsidRPr="00AB4DE3" w:rsidRDefault="00A435D4" w:rsidP="00A435D4">
            <w:pPr>
              <w:numPr>
                <w:ilvl w:val="0"/>
                <w:numId w:val="25"/>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Municipal Financial Management and Reporting</w:t>
            </w:r>
          </w:p>
          <w:p w:rsidR="00A435D4" w:rsidRPr="00AB4DE3" w:rsidRDefault="00A435D4" w:rsidP="00A435D4">
            <w:pPr>
              <w:numPr>
                <w:ilvl w:val="0"/>
                <w:numId w:val="25"/>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Municipal Public Accounts Committee</w:t>
            </w:r>
          </w:p>
          <w:p w:rsidR="00A435D4" w:rsidRPr="00AB4DE3" w:rsidRDefault="00A435D4" w:rsidP="00A435D4">
            <w:pPr>
              <w:numPr>
                <w:ilvl w:val="0"/>
                <w:numId w:val="25"/>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Municipal Procurement</w:t>
            </w:r>
          </w:p>
          <w:p w:rsidR="00A435D4" w:rsidRPr="00AB4DE3" w:rsidRDefault="00A435D4" w:rsidP="00A435D4">
            <w:pPr>
              <w:numPr>
                <w:ilvl w:val="0"/>
                <w:numId w:val="25"/>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Finance for Non-Financial Managers</w:t>
            </w:r>
          </w:p>
        </w:tc>
      </w:tr>
      <w:tr w:rsidR="00A435D4" w:rsidRPr="00AB4DE3" w:rsidTr="00FA1E22">
        <w:trPr>
          <w:trHeight w:val="1782"/>
          <w:tblCellSpacing w:w="0" w:type="dxa"/>
        </w:trPr>
        <w:tc>
          <w:tcPr>
            <w:tcW w:w="3402" w:type="dxa"/>
            <w:tcBorders>
              <w:top w:val="outset" w:sz="6" w:space="0" w:color="000000"/>
              <w:left w:val="outset" w:sz="6" w:space="0" w:color="000000"/>
              <w:bottom w:val="outset" w:sz="6" w:space="0" w:color="000000"/>
              <w:right w:val="outset" w:sz="6" w:space="0" w:color="000000"/>
            </w:tcBorders>
            <w:hideMark/>
          </w:tcPr>
          <w:p w:rsidR="00A435D4" w:rsidRPr="00AB4DE3" w:rsidRDefault="00A435D4" w:rsidP="00FA1E22">
            <w:p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Good Governance and Leadership</w:t>
            </w:r>
          </w:p>
        </w:tc>
        <w:tc>
          <w:tcPr>
            <w:tcW w:w="5528" w:type="dxa"/>
            <w:tcBorders>
              <w:top w:val="outset" w:sz="6" w:space="0" w:color="auto"/>
              <w:left w:val="outset" w:sz="6" w:space="0" w:color="auto"/>
              <w:bottom w:val="outset" w:sz="6" w:space="0" w:color="auto"/>
              <w:right w:val="outset" w:sz="6" w:space="0" w:color="auto"/>
            </w:tcBorders>
            <w:hideMark/>
          </w:tcPr>
          <w:p w:rsidR="00A435D4" w:rsidRPr="00AB4DE3" w:rsidRDefault="00A435D4" w:rsidP="00A435D4">
            <w:pPr>
              <w:numPr>
                <w:ilvl w:val="0"/>
                <w:numId w:val="26"/>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Municipal Governance</w:t>
            </w:r>
          </w:p>
          <w:p w:rsidR="00A435D4" w:rsidRPr="00AB4DE3" w:rsidRDefault="00A435D4" w:rsidP="00A435D4">
            <w:pPr>
              <w:numPr>
                <w:ilvl w:val="0"/>
                <w:numId w:val="26"/>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Local Government Law and Public Administration</w:t>
            </w:r>
          </w:p>
          <w:p w:rsidR="00A435D4" w:rsidRPr="00AB4DE3" w:rsidRDefault="00A435D4" w:rsidP="00A435D4">
            <w:pPr>
              <w:numPr>
                <w:ilvl w:val="0"/>
                <w:numId w:val="26"/>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Leadership and Relationship Management</w:t>
            </w:r>
          </w:p>
          <w:p w:rsidR="00A435D4" w:rsidRPr="00AB4DE3" w:rsidRDefault="00A435D4" w:rsidP="00A435D4">
            <w:pPr>
              <w:numPr>
                <w:ilvl w:val="0"/>
                <w:numId w:val="26"/>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Leadership and Ethics</w:t>
            </w:r>
          </w:p>
          <w:p w:rsidR="00A435D4" w:rsidRPr="00AB4DE3" w:rsidRDefault="00A435D4" w:rsidP="00A435D4">
            <w:pPr>
              <w:numPr>
                <w:ilvl w:val="0"/>
                <w:numId w:val="26"/>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Ward Committee Governance</w:t>
            </w:r>
          </w:p>
          <w:p w:rsidR="00A435D4" w:rsidRPr="00AB4DE3" w:rsidRDefault="00A435D4" w:rsidP="00A435D4">
            <w:pPr>
              <w:numPr>
                <w:ilvl w:val="0"/>
                <w:numId w:val="26"/>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Change Management</w:t>
            </w:r>
          </w:p>
          <w:p w:rsidR="00A435D4" w:rsidRPr="00AB4DE3" w:rsidRDefault="00A435D4" w:rsidP="00A435D4">
            <w:pPr>
              <w:numPr>
                <w:ilvl w:val="0"/>
                <w:numId w:val="26"/>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Monitoring and Evaluation</w:t>
            </w:r>
          </w:p>
          <w:p w:rsidR="00A435D4" w:rsidRPr="00AB4DE3" w:rsidRDefault="00A435D4" w:rsidP="00A435D4">
            <w:pPr>
              <w:numPr>
                <w:ilvl w:val="0"/>
                <w:numId w:val="26"/>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Performance Management and Accountability</w:t>
            </w:r>
          </w:p>
        </w:tc>
      </w:tr>
      <w:tr w:rsidR="00A435D4" w:rsidRPr="00AB4DE3" w:rsidTr="00FA1E22">
        <w:trPr>
          <w:trHeight w:val="2495"/>
          <w:tblCellSpacing w:w="0" w:type="dxa"/>
        </w:trPr>
        <w:tc>
          <w:tcPr>
            <w:tcW w:w="3402" w:type="dxa"/>
            <w:tcBorders>
              <w:top w:val="outset" w:sz="6" w:space="0" w:color="000000"/>
              <w:left w:val="outset" w:sz="6" w:space="0" w:color="000000"/>
              <w:bottom w:val="outset" w:sz="6" w:space="0" w:color="000000"/>
              <w:right w:val="outset" w:sz="6" w:space="0" w:color="000000"/>
            </w:tcBorders>
            <w:hideMark/>
          </w:tcPr>
          <w:p w:rsidR="00A435D4" w:rsidRPr="00AB4DE3" w:rsidRDefault="00A435D4" w:rsidP="00FA1E22">
            <w:p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Municipal Administration</w:t>
            </w:r>
          </w:p>
        </w:tc>
        <w:tc>
          <w:tcPr>
            <w:tcW w:w="5528" w:type="dxa"/>
            <w:tcBorders>
              <w:top w:val="outset" w:sz="6" w:space="0" w:color="auto"/>
              <w:left w:val="outset" w:sz="6" w:space="0" w:color="auto"/>
              <w:bottom w:val="outset" w:sz="6" w:space="0" w:color="auto"/>
              <w:right w:val="outset" w:sz="6" w:space="0" w:color="auto"/>
            </w:tcBorders>
            <w:hideMark/>
          </w:tcPr>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Media Relations and Stakeholder Engagement</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Human Resource Planning</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Policy Development</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Batho Pele and Interpersonal Skills</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Presentation skills</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Report Writing</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End-User Computing</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Office Administration</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Conflict Management</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Negotiation skills</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Municipal Legislations</w:t>
            </w:r>
          </w:p>
          <w:p w:rsidR="00A435D4" w:rsidRPr="00AB4DE3" w:rsidRDefault="00A435D4" w:rsidP="00A435D4">
            <w:pPr>
              <w:numPr>
                <w:ilvl w:val="0"/>
                <w:numId w:val="27"/>
              </w:numPr>
              <w:spacing w:before="100" w:beforeAutospacing="1" w:after="100" w:afterAutospacing="1" w:line="360" w:lineRule="auto"/>
              <w:jc w:val="both"/>
              <w:rPr>
                <w:rFonts w:ascii="Arial" w:eastAsia="Times New Roman" w:hAnsi="Arial" w:cs="Arial"/>
                <w:lang w:val="en-ZA" w:eastAsia="en-ZA"/>
              </w:rPr>
            </w:pPr>
            <w:r w:rsidRPr="00AB4DE3">
              <w:rPr>
                <w:rFonts w:ascii="Arial" w:eastAsia="Times New Roman" w:hAnsi="Arial" w:cs="Arial"/>
                <w:lang w:val="en-ZA" w:eastAsia="en-ZA"/>
              </w:rPr>
              <w:t>Adult Education and Training (AET: level 1-4)</w:t>
            </w:r>
          </w:p>
        </w:tc>
      </w:tr>
    </w:tbl>
    <w:p w:rsidR="00A435D4" w:rsidRPr="00AB4DE3" w:rsidRDefault="00A435D4" w:rsidP="00A435D4">
      <w:pPr>
        <w:spacing w:before="100" w:beforeAutospacing="1" w:after="100" w:afterAutospacing="1" w:line="360" w:lineRule="auto"/>
        <w:ind w:left="285"/>
        <w:jc w:val="both"/>
        <w:rPr>
          <w:rFonts w:ascii="Arial" w:eastAsia="Times New Roman" w:hAnsi="Arial" w:cs="Arial"/>
          <w:lang w:val="en-ZA" w:eastAsia="en-ZA"/>
        </w:rPr>
      </w:pPr>
      <w:r w:rsidRPr="00AB4DE3">
        <w:rPr>
          <w:rFonts w:ascii="Arial" w:eastAsia="Times New Roman" w:hAnsi="Arial" w:cs="Arial"/>
          <w:lang w:val="en-ZA" w:eastAsia="en-ZA"/>
        </w:rPr>
        <w:t> </w:t>
      </w:r>
    </w:p>
    <w:p w:rsidR="00BD00C9" w:rsidRPr="00122BE9" w:rsidRDefault="00BD00C9" w:rsidP="004446A7">
      <w:pPr>
        <w:spacing w:before="240"/>
        <w:jc w:val="center"/>
        <w:rPr>
          <w:rFonts w:ascii="Arial" w:hAnsi="Arial" w:cs="Arial"/>
        </w:rPr>
      </w:pPr>
    </w:p>
    <w:sectPr w:rsidR="00BD00C9" w:rsidRPr="00122BE9"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87" w:rsidRDefault="00833087">
      <w:pPr>
        <w:spacing w:after="0" w:line="240" w:lineRule="auto"/>
      </w:pPr>
      <w:r>
        <w:separator/>
      </w:r>
    </w:p>
  </w:endnote>
  <w:endnote w:type="continuationSeparator" w:id="0">
    <w:p w:rsidR="00833087" w:rsidRDefault="00833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87" w:rsidRDefault="00833087">
      <w:pPr>
        <w:spacing w:after="0" w:line="240" w:lineRule="auto"/>
      </w:pPr>
      <w:r>
        <w:separator/>
      </w:r>
    </w:p>
  </w:footnote>
  <w:footnote w:type="continuationSeparator" w:id="0">
    <w:p w:rsidR="00833087" w:rsidRDefault="00833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833087">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833087">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833087">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1"/>
  </w:num>
  <w:num w:numId="4">
    <w:abstractNumId w:val="17"/>
  </w:num>
  <w:num w:numId="5">
    <w:abstractNumId w:val="18"/>
  </w:num>
  <w:num w:numId="6">
    <w:abstractNumId w:val="13"/>
  </w:num>
  <w:num w:numId="7">
    <w:abstractNumId w:val="12"/>
  </w:num>
  <w:num w:numId="8">
    <w:abstractNumId w:val="8"/>
  </w:num>
  <w:num w:numId="9">
    <w:abstractNumId w:val="5"/>
  </w:num>
  <w:num w:numId="10">
    <w:abstractNumId w:val="5"/>
    <w:lvlOverride w:ilvl="0">
      <w:startOverride w:val="1"/>
    </w:lvlOverride>
  </w:num>
  <w:num w:numId="11">
    <w:abstractNumId w:val="5"/>
    <w:lvlOverride w:ilvl="0">
      <w:startOverride w:val="10"/>
    </w:lvlOverride>
  </w:num>
  <w:num w:numId="12">
    <w:abstractNumId w:val="24"/>
  </w:num>
  <w:num w:numId="13">
    <w:abstractNumId w:val="4"/>
  </w:num>
  <w:num w:numId="14">
    <w:abstractNumId w:val="6"/>
  </w:num>
  <w:num w:numId="15">
    <w:abstractNumId w:val="14"/>
  </w:num>
  <w:num w:numId="16">
    <w:abstractNumId w:val="16"/>
  </w:num>
  <w:num w:numId="17">
    <w:abstractNumId w:val="10"/>
  </w:num>
  <w:num w:numId="18">
    <w:abstractNumId w:val="23"/>
  </w:num>
  <w:num w:numId="19">
    <w:abstractNumId w:val="1"/>
  </w:num>
  <w:num w:numId="20">
    <w:abstractNumId w:val="20"/>
  </w:num>
  <w:num w:numId="21">
    <w:abstractNumId w:val="15"/>
  </w:num>
  <w:num w:numId="22">
    <w:abstractNumId w:val="19"/>
  </w:num>
  <w:num w:numId="23">
    <w:abstractNumId w:val="3"/>
  </w:num>
  <w:num w:numId="24">
    <w:abstractNumId w:val="22"/>
  </w:num>
  <w:num w:numId="25">
    <w:abstractNumId w:val="2"/>
  </w:num>
  <w:num w:numId="26">
    <w:abstractNumId w:val="21"/>
  </w:num>
  <w:num w:numId="27">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46A7"/>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10F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3087"/>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4D4"/>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924F0-FA31-4EC3-94A6-5DF7FEA4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2022-07-26T10:19:00Z</dcterms:created>
  <dcterms:modified xsi:type="dcterms:W3CDTF">2022-07-26T10:19:00Z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