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27" w:rsidRPr="00A86A88" w:rsidRDefault="00DC1C27" w:rsidP="00DC1C27">
      <w:pPr>
        <w:contextualSpacing/>
        <w:jc w:val="center"/>
      </w:pPr>
      <w:bookmarkStart w:id="0" w:name="_GoBack"/>
      <w:bookmarkEnd w:id="0"/>
      <w:r w:rsidRPr="00A86A88">
        <w:rPr>
          <w:b/>
          <w:bCs/>
        </w:rPr>
        <w:t>NATIONAL ASSEMBLY</w:t>
      </w:r>
    </w:p>
    <w:p w:rsidR="00DC1C27" w:rsidRPr="00A86A88" w:rsidRDefault="00DC1C27" w:rsidP="00DC1C27">
      <w:pPr>
        <w:contextualSpacing/>
        <w:jc w:val="center"/>
        <w:rPr>
          <w:b/>
        </w:rPr>
      </w:pPr>
      <w:r w:rsidRPr="00A86A88">
        <w:rPr>
          <w:b/>
        </w:rPr>
        <w:t>WRITTEN REPLY</w:t>
      </w:r>
    </w:p>
    <w:p w:rsidR="00DC1C27" w:rsidRPr="00A86A88" w:rsidRDefault="00DC1C27" w:rsidP="00DC1C27">
      <w:pPr>
        <w:contextualSpacing/>
      </w:pPr>
    </w:p>
    <w:p w:rsidR="00DC1C27" w:rsidRPr="00A86A88" w:rsidRDefault="00DC1C27" w:rsidP="00DC1C27">
      <w:pPr>
        <w:contextualSpacing/>
        <w:rPr>
          <w:b/>
          <w:bCs/>
        </w:rPr>
      </w:pPr>
    </w:p>
    <w:p w:rsidR="00DC1C27" w:rsidRPr="00A86A88" w:rsidRDefault="00DC1C27" w:rsidP="00DC1C27">
      <w:pPr>
        <w:contextualSpacing/>
        <w:rPr>
          <w:b/>
          <w:bCs/>
        </w:rPr>
      </w:pPr>
      <w:r w:rsidRPr="00A86A88">
        <w:rPr>
          <w:b/>
          <w:bCs/>
        </w:rPr>
        <w:t>QUESTION 1878</w:t>
      </w:r>
    </w:p>
    <w:p w:rsidR="00DC1C27" w:rsidRPr="00A86A88" w:rsidRDefault="00DC1C27" w:rsidP="00DC1C27">
      <w:pPr>
        <w:contextualSpacing/>
      </w:pPr>
      <w:r w:rsidRPr="00A86A88">
        <w:t> </w:t>
      </w:r>
    </w:p>
    <w:p w:rsidR="00DC1C27" w:rsidRPr="00A86A88" w:rsidRDefault="00DC1C27" w:rsidP="00DC1C27">
      <w:pPr>
        <w:contextualSpacing/>
        <w:rPr>
          <w:b/>
          <w:bCs/>
          <w:u w:val="single"/>
        </w:rPr>
      </w:pPr>
      <w:r w:rsidRPr="00A86A88">
        <w:rPr>
          <w:b/>
          <w:bCs/>
          <w:u w:val="single"/>
        </w:rPr>
        <w:t>INTERNAL QUESTION PAPER [No 17 - 2022 SIXTH PARLIAMENT</w:t>
      </w:r>
      <w:proofErr w:type="gramStart"/>
      <w:r w:rsidRPr="00A86A88">
        <w:rPr>
          <w:b/>
          <w:bCs/>
          <w:u w:val="single"/>
        </w:rPr>
        <w:t>]</w:t>
      </w:r>
      <w:proofErr w:type="gramEnd"/>
      <w:r w:rsidRPr="00A86A88">
        <w:rPr>
          <w:b/>
          <w:bCs/>
          <w:u w:val="single"/>
        </w:rPr>
        <w:br/>
        <w:t>DATE OF PUBLICATION: 13 MAY 2022</w:t>
      </w:r>
    </w:p>
    <w:p w:rsidR="00DC1C27" w:rsidRPr="00A86A88" w:rsidRDefault="00DC1C27" w:rsidP="00DC1C27">
      <w:pPr>
        <w:ind w:left="720" w:hanging="720"/>
        <w:jc w:val="both"/>
        <w:outlineLvl w:val="0"/>
        <w:rPr>
          <w:b/>
          <w:lang w:val="en-US"/>
        </w:rPr>
      </w:pPr>
    </w:p>
    <w:p w:rsidR="00DC1C27" w:rsidRDefault="00DC1C27" w:rsidP="00DC1C27">
      <w:pPr>
        <w:ind w:left="720" w:hanging="720"/>
        <w:jc w:val="both"/>
        <w:outlineLvl w:val="0"/>
        <w:rPr>
          <w:b/>
        </w:rPr>
      </w:pPr>
      <w:r w:rsidRPr="00A86A88">
        <w:rPr>
          <w:b/>
        </w:rPr>
        <w:t>1878.</w:t>
      </w:r>
      <w:r w:rsidRPr="00A86A88">
        <w:rPr>
          <w:b/>
        </w:rPr>
        <w:tab/>
        <w:t xml:space="preserve">Mr N P Masipa (DA) to ask the Minister of Agriculture, Land Reform and Rural </w:t>
      </w:r>
      <w:r w:rsidRPr="00A86A88">
        <w:rPr>
          <w:b/>
          <w:bCs/>
        </w:rPr>
        <w:t>Development</w:t>
      </w:r>
      <w:r w:rsidR="0017784F" w:rsidRPr="00A86A88">
        <w:rPr>
          <w:b/>
          <w:bCs/>
        </w:rPr>
        <w:fldChar w:fldCharType="begin"/>
      </w:r>
      <w:r w:rsidRPr="00A86A88">
        <w:instrText xml:space="preserve"> XE "</w:instrText>
      </w:r>
      <w:r w:rsidRPr="00A86A88">
        <w:rPr>
          <w:b/>
        </w:rPr>
        <w:instrText>Agriculture, Land Reform and Rural Development</w:instrText>
      </w:r>
      <w:r w:rsidRPr="00A86A88">
        <w:instrText xml:space="preserve">" </w:instrText>
      </w:r>
      <w:r w:rsidR="0017784F" w:rsidRPr="00A86A88">
        <w:rPr>
          <w:b/>
          <w:bCs/>
        </w:rPr>
        <w:fldChar w:fldCharType="end"/>
      </w:r>
      <w:r w:rsidRPr="00A86A88">
        <w:rPr>
          <w:b/>
        </w:rPr>
        <w:t xml:space="preserve">: </w:t>
      </w:r>
    </w:p>
    <w:p w:rsidR="00DC1C27" w:rsidRPr="00A86A88" w:rsidRDefault="00DC1C27" w:rsidP="00DC1C27">
      <w:pPr>
        <w:ind w:left="720" w:hanging="720"/>
        <w:jc w:val="both"/>
        <w:outlineLvl w:val="0"/>
      </w:pPr>
    </w:p>
    <w:p w:rsidR="00DC1C27" w:rsidRPr="00A86A88" w:rsidRDefault="00DC1C27" w:rsidP="00DC1C27">
      <w:pPr>
        <w:pStyle w:val="ListParagraph"/>
        <w:numPr>
          <w:ilvl w:val="0"/>
          <w:numId w:val="1"/>
        </w:numPr>
        <w:ind w:left="709"/>
        <w:contextualSpacing/>
        <w:jc w:val="both"/>
        <w:outlineLvl w:val="0"/>
      </w:pPr>
      <w:r w:rsidRPr="00A86A88">
        <w:t xml:space="preserve">What are the details of all vaccines that are available at </w:t>
      </w:r>
      <w:proofErr w:type="spellStart"/>
      <w:r w:rsidRPr="00A86A88">
        <w:t>Onderstepoort</w:t>
      </w:r>
      <w:proofErr w:type="spellEnd"/>
      <w:r w:rsidRPr="00A86A88">
        <w:t xml:space="preserve"> Biological Products (OBP), in view of the fact that various cooperatives and animal pharmaceutical companies receive their supplies from the OBP for farmers’ usage in provinces across the Republic; </w:t>
      </w:r>
    </w:p>
    <w:p w:rsidR="00DC1C27" w:rsidRPr="00A86A88" w:rsidRDefault="00DC1C27" w:rsidP="00DC1C27">
      <w:pPr>
        <w:pStyle w:val="ListParagraph"/>
        <w:ind w:left="1440"/>
        <w:jc w:val="both"/>
        <w:outlineLvl w:val="0"/>
      </w:pPr>
    </w:p>
    <w:p w:rsidR="00DC1C27" w:rsidRPr="00A86A88" w:rsidRDefault="00DC1C27" w:rsidP="00DC1C27">
      <w:pPr>
        <w:ind w:left="709" w:hanging="709"/>
        <w:jc w:val="both"/>
        <w:outlineLvl w:val="0"/>
      </w:pPr>
      <w:r w:rsidRPr="00A86A88">
        <w:t>(2)</w:t>
      </w:r>
      <w:r w:rsidRPr="00A86A88">
        <w:tab/>
      </w:r>
      <w:proofErr w:type="gramStart"/>
      <w:r w:rsidRPr="00A86A88">
        <w:t>whether</w:t>
      </w:r>
      <w:proofErr w:type="gramEnd"/>
      <w:r w:rsidRPr="00A86A88">
        <w:t xml:space="preserve"> she has found that the current vaccine stocks at the OBP are adequate to cater for the management of livestock; if not, why not; if so, what are the relevant details?</w:t>
      </w:r>
      <w:r w:rsidRPr="00A86A88">
        <w:tab/>
      </w:r>
      <w:r w:rsidRPr="00A86A88">
        <w:tab/>
      </w:r>
      <w:r w:rsidRPr="00A86A88">
        <w:tab/>
      </w:r>
      <w:r w:rsidRPr="00A86A88">
        <w:tab/>
      </w:r>
      <w:r w:rsidRPr="00A86A88">
        <w:tab/>
      </w:r>
      <w:r w:rsidRPr="00A86A88">
        <w:tab/>
      </w:r>
      <w:r w:rsidRPr="00A86A88">
        <w:tab/>
      </w:r>
      <w:r>
        <w:t xml:space="preserve">        </w:t>
      </w:r>
      <w:r w:rsidR="003F53E4">
        <w:t xml:space="preserve">                  </w:t>
      </w:r>
      <w:r w:rsidRPr="00A86A88">
        <w:rPr>
          <w:b/>
          <w:bCs/>
        </w:rPr>
        <w:t>NW2214E</w:t>
      </w:r>
    </w:p>
    <w:p w:rsidR="00DC1C27" w:rsidRPr="00A86A88" w:rsidRDefault="00DC1C27" w:rsidP="00DC1C27">
      <w:pPr>
        <w:contextualSpacing/>
        <w:jc w:val="both"/>
        <w:rPr>
          <w:lang w:val="en-US"/>
        </w:rPr>
      </w:pPr>
    </w:p>
    <w:p w:rsidR="00DC1C27" w:rsidRPr="00A86A88" w:rsidRDefault="00DC1C27" w:rsidP="00DC1C27">
      <w:pPr>
        <w:contextualSpacing/>
        <w:jc w:val="both"/>
        <w:rPr>
          <w:lang w:val="en-US"/>
        </w:rPr>
      </w:pPr>
    </w:p>
    <w:p w:rsidR="00DC1C27" w:rsidRDefault="00DC1C27" w:rsidP="00DC1C27">
      <w:pPr>
        <w:contextualSpacing/>
        <w:jc w:val="both"/>
        <w:rPr>
          <w:iCs/>
        </w:rPr>
      </w:pPr>
      <w:r w:rsidRPr="00A86A88">
        <w:rPr>
          <w:b/>
        </w:rPr>
        <w:t>THE MINISTER OF AGRICULTURE, LAND REFORM AND RURAL DEVELOPMENT:</w:t>
      </w:r>
    </w:p>
    <w:p w:rsidR="00DC1C27" w:rsidRDefault="00DC1C27" w:rsidP="003F53E4">
      <w:pPr>
        <w:contextualSpacing/>
        <w:jc w:val="both"/>
        <w:rPr>
          <w:iCs/>
        </w:rPr>
      </w:pPr>
    </w:p>
    <w:p w:rsidR="00DC1C27" w:rsidRDefault="003F53E4" w:rsidP="003F53E4">
      <w:pPr>
        <w:pStyle w:val="ListParagraph"/>
        <w:numPr>
          <w:ilvl w:val="0"/>
          <w:numId w:val="5"/>
        </w:numPr>
        <w:ind w:hanging="720"/>
        <w:contextualSpacing/>
        <w:jc w:val="both"/>
        <w:rPr>
          <w:noProof/>
          <w:lang w:eastAsia="en-ZA"/>
        </w:rPr>
      </w:pPr>
      <w:r>
        <w:rPr>
          <w:iCs/>
        </w:rPr>
        <w:t>Please refer to</w:t>
      </w:r>
      <w:r w:rsidR="005F4158">
        <w:rPr>
          <w:iCs/>
        </w:rPr>
        <w:t xml:space="preserve"> Table 1 below</w:t>
      </w:r>
      <w:r w:rsidRPr="003F53E4">
        <w:rPr>
          <w:b/>
          <w:bCs/>
          <w:iCs/>
        </w:rPr>
        <w:t>.</w:t>
      </w:r>
    </w:p>
    <w:p w:rsidR="003F53E4" w:rsidRDefault="003F53E4" w:rsidP="003F53E4">
      <w:pPr>
        <w:pStyle w:val="ListParagraph"/>
        <w:contextualSpacing/>
        <w:jc w:val="both"/>
        <w:rPr>
          <w:noProof/>
          <w:lang w:eastAsia="en-ZA"/>
        </w:rPr>
      </w:pPr>
    </w:p>
    <w:p w:rsidR="003F53E4" w:rsidRPr="005F4158" w:rsidRDefault="003F53E4" w:rsidP="003F53E4">
      <w:pPr>
        <w:pStyle w:val="ListParagraph"/>
        <w:numPr>
          <w:ilvl w:val="0"/>
          <w:numId w:val="5"/>
        </w:numPr>
        <w:ind w:hanging="720"/>
        <w:jc w:val="both"/>
      </w:pPr>
      <w:r w:rsidRPr="00F85579">
        <w:rPr>
          <w:iCs/>
        </w:rPr>
        <w:t>Current vaccine stock levels of certain products at the OBP might not be adequate to cater for the management of certain livestock diseases</w:t>
      </w:r>
      <w:r>
        <w:rPr>
          <w:iCs/>
        </w:rPr>
        <w:t>.</w:t>
      </w:r>
      <w:r w:rsidRPr="00F85579">
        <w:rPr>
          <w:iCs/>
        </w:rPr>
        <w:t xml:space="preserve"> </w:t>
      </w:r>
      <w:r>
        <w:rPr>
          <w:iCs/>
        </w:rPr>
        <w:t>H</w:t>
      </w:r>
      <w:r w:rsidRPr="00F85579">
        <w:rPr>
          <w:iCs/>
        </w:rPr>
        <w:t>owever</w:t>
      </w:r>
      <w:r>
        <w:rPr>
          <w:iCs/>
        </w:rPr>
        <w:t>,</w:t>
      </w:r>
      <w:r w:rsidRPr="00F85579">
        <w:rPr>
          <w:iCs/>
        </w:rPr>
        <w:t xml:space="preserve"> the Board and Management of the OBP have assured that </w:t>
      </w:r>
      <w:r w:rsidR="005F4158">
        <w:rPr>
          <w:iCs/>
        </w:rPr>
        <w:t xml:space="preserve">measures </w:t>
      </w:r>
      <w:r w:rsidRPr="00F85579">
        <w:rPr>
          <w:iCs/>
        </w:rPr>
        <w:t>are being put in place to mitigate this risk.</w:t>
      </w:r>
    </w:p>
    <w:p w:rsidR="005F4158" w:rsidRDefault="005F4158" w:rsidP="005F4158">
      <w:pPr>
        <w:pStyle w:val="ListParagraph"/>
      </w:pPr>
    </w:p>
    <w:p w:rsidR="005F4158" w:rsidRPr="005B221A" w:rsidRDefault="005F4158" w:rsidP="005F4158">
      <w:pPr>
        <w:jc w:val="both"/>
        <w:rPr>
          <w:b/>
        </w:rPr>
      </w:pPr>
      <w:r w:rsidRPr="005B221A">
        <w:rPr>
          <w:b/>
        </w:rPr>
        <w:t>Table 1:</w:t>
      </w:r>
      <w:r w:rsidR="005B221A" w:rsidRPr="005B221A">
        <w:rPr>
          <w:b/>
        </w:rPr>
        <w:t xml:space="preserve"> Available vaccines</w:t>
      </w:r>
    </w:p>
    <w:tbl>
      <w:tblPr>
        <w:tblStyle w:val="TableGrid"/>
        <w:tblW w:w="9787" w:type="dxa"/>
        <w:tblInd w:w="-5" w:type="dxa"/>
        <w:tblLook w:val="04A0"/>
      </w:tblPr>
      <w:tblGrid>
        <w:gridCol w:w="3391"/>
        <w:gridCol w:w="1484"/>
        <w:gridCol w:w="3428"/>
        <w:gridCol w:w="1484"/>
      </w:tblGrid>
      <w:tr w:rsidR="008B54F1" w:rsidTr="005B221A">
        <w:tc>
          <w:tcPr>
            <w:tcW w:w="3391" w:type="dxa"/>
            <w:shd w:val="clear" w:color="auto" w:fill="D9D9D9" w:themeFill="background1" w:themeFillShade="D9"/>
          </w:tcPr>
          <w:p w:rsidR="008B54F1" w:rsidRPr="008B54F1" w:rsidRDefault="008B54F1" w:rsidP="005F4158">
            <w:pPr>
              <w:jc w:val="both"/>
              <w:rPr>
                <w:b/>
              </w:rPr>
            </w:pPr>
            <w:r w:rsidRPr="008B54F1">
              <w:rPr>
                <w:b/>
              </w:rPr>
              <w:t xml:space="preserve">Product 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8B54F1" w:rsidRPr="008B54F1" w:rsidRDefault="008B54F1" w:rsidP="005F4158">
            <w:pPr>
              <w:jc w:val="both"/>
              <w:rPr>
                <w:b/>
              </w:rPr>
            </w:pPr>
            <w:r w:rsidRPr="008B54F1">
              <w:rPr>
                <w:b/>
              </w:rPr>
              <w:t>Availability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8B54F1" w:rsidRPr="008B54F1" w:rsidRDefault="008B54F1" w:rsidP="005F4158">
            <w:pPr>
              <w:jc w:val="both"/>
              <w:rPr>
                <w:b/>
              </w:rPr>
            </w:pPr>
            <w:r w:rsidRPr="008B54F1">
              <w:rPr>
                <w:b/>
              </w:rPr>
              <w:t xml:space="preserve">Product 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8B54F1" w:rsidRPr="008B54F1" w:rsidRDefault="008B54F1" w:rsidP="005F4158">
            <w:pPr>
              <w:jc w:val="both"/>
              <w:rPr>
                <w:b/>
              </w:rPr>
            </w:pPr>
            <w:r w:rsidRPr="008B54F1">
              <w:rPr>
                <w:b/>
              </w:rPr>
              <w:t>Availability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Anthrax 100ml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>Lumpy Skin Disease 100ml 50 Dose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Black Quarter 100ml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>Lumpy Skin Disease 50ml 25 Dose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Blue Tongue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proofErr w:type="spellStart"/>
            <w:r>
              <w:t>Pastuerella</w:t>
            </w:r>
            <w:proofErr w:type="spellEnd"/>
            <w:r>
              <w:t xml:space="preserve"> Sheep 100ml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Botulism 100ml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proofErr w:type="spellStart"/>
            <w:r>
              <w:t>Pastue</w:t>
            </w:r>
            <w:proofErr w:type="spellEnd"/>
            <w:r>
              <w:t xml:space="preserve"> </w:t>
            </w:r>
            <w:proofErr w:type="spellStart"/>
            <w:r>
              <w:t>rella</w:t>
            </w:r>
            <w:proofErr w:type="spellEnd"/>
            <w:r>
              <w:t xml:space="preserve"> Cattle 100ml 50 Dose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Botulism/Black Quarter 100ml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>Pulpy kidney (Alum)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Abortus</w:t>
            </w:r>
            <w:proofErr w:type="spellEnd"/>
            <w:r>
              <w:t xml:space="preserve"> S19 25 dose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proofErr w:type="spellStart"/>
            <w:r>
              <w:t>Redwater</w:t>
            </w:r>
            <w:proofErr w:type="spellEnd"/>
            <w:r>
              <w:t xml:space="preserve"> Africa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proofErr w:type="spellStart"/>
            <w:r>
              <w:t>Brucella</w:t>
            </w:r>
            <w:proofErr w:type="spellEnd"/>
            <w:r>
              <w:t xml:space="preserve"> CFT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proofErr w:type="spellStart"/>
            <w:r>
              <w:t>Redwater</w:t>
            </w:r>
            <w:proofErr w:type="spellEnd"/>
            <w:r>
              <w:t xml:space="preserve"> Asiatic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proofErr w:type="spellStart"/>
            <w:r>
              <w:t>Brucella</w:t>
            </w:r>
            <w:proofErr w:type="spellEnd"/>
            <w:r>
              <w:t xml:space="preserve"> RB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 xml:space="preserve">Rift Valley Fever </w:t>
            </w:r>
            <w:proofErr w:type="spellStart"/>
            <w:r>
              <w:t>Inact</w:t>
            </w:r>
            <w:proofErr w:type="spellEnd"/>
            <w:r>
              <w:t xml:space="preserve"> 100ml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proofErr w:type="spellStart"/>
            <w:r>
              <w:t>Brucella</w:t>
            </w:r>
            <w:proofErr w:type="spellEnd"/>
            <w:r>
              <w:t xml:space="preserve"> Rev 1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>Rift Valley Fever Live 100ml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proofErr w:type="spellStart"/>
            <w:r>
              <w:t>Brucella</w:t>
            </w:r>
            <w:proofErr w:type="spellEnd"/>
            <w:r>
              <w:t xml:space="preserve"> Std Serum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 xml:space="preserve">Swelled Head 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Elephant Skin Disease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>Tetanus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Gas Gangrene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>Tuberculin Avian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r>
              <w:t>Horse Sickness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  <w:r>
              <w:t>Tuberculin Bovine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117EEF">
              <w:t>Available</w:t>
            </w:r>
          </w:p>
        </w:tc>
      </w:tr>
      <w:tr w:rsidR="005B221A" w:rsidTr="005B221A">
        <w:tc>
          <w:tcPr>
            <w:tcW w:w="3391" w:type="dxa"/>
          </w:tcPr>
          <w:p w:rsidR="005B221A" w:rsidRDefault="005B221A" w:rsidP="005B221A">
            <w:pPr>
              <w:jc w:val="both"/>
            </w:pPr>
            <w:proofErr w:type="spellStart"/>
            <w:r>
              <w:t>Leukopast</w:t>
            </w:r>
            <w:proofErr w:type="spellEnd"/>
            <w:r>
              <w:t xml:space="preserve"> 3 (cattle)</w:t>
            </w: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  <w:r w:rsidRPr="006723A4">
              <w:t>Available</w:t>
            </w:r>
          </w:p>
        </w:tc>
        <w:tc>
          <w:tcPr>
            <w:tcW w:w="3428" w:type="dxa"/>
          </w:tcPr>
          <w:p w:rsidR="005B221A" w:rsidRDefault="005B221A" w:rsidP="005B221A">
            <w:pPr>
              <w:jc w:val="both"/>
            </w:pPr>
          </w:p>
        </w:tc>
        <w:tc>
          <w:tcPr>
            <w:tcW w:w="1484" w:type="dxa"/>
          </w:tcPr>
          <w:p w:rsidR="005B221A" w:rsidRDefault="005B221A" w:rsidP="005B221A">
            <w:pPr>
              <w:jc w:val="both"/>
            </w:pPr>
          </w:p>
        </w:tc>
      </w:tr>
    </w:tbl>
    <w:p w:rsidR="005F4158" w:rsidRDefault="005F4158" w:rsidP="005F4158">
      <w:pPr>
        <w:jc w:val="both"/>
      </w:pPr>
    </w:p>
    <w:p w:rsidR="00DC1C27" w:rsidRPr="00354910" w:rsidRDefault="00DC1C27" w:rsidP="00DC1C27">
      <w:pPr>
        <w:contextualSpacing/>
        <w:jc w:val="both"/>
        <w:rPr>
          <w:b/>
        </w:rPr>
      </w:pPr>
    </w:p>
    <w:sectPr w:rsidR="00DC1C27" w:rsidRPr="00354910" w:rsidSect="005F4158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C0D2C"/>
    <w:multiLevelType w:val="hybridMultilevel"/>
    <w:tmpl w:val="E3641B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280D"/>
    <w:multiLevelType w:val="hybridMultilevel"/>
    <w:tmpl w:val="261A33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B246E"/>
    <w:multiLevelType w:val="hybridMultilevel"/>
    <w:tmpl w:val="1A5239D6"/>
    <w:lvl w:ilvl="0" w:tplc="1F7418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832F3"/>
    <w:multiLevelType w:val="hybridMultilevel"/>
    <w:tmpl w:val="854062D2"/>
    <w:lvl w:ilvl="0" w:tplc="9866E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1C27"/>
    <w:rsid w:val="00086AD5"/>
    <w:rsid w:val="0017784F"/>
    <w:rsid w:val="001F0C8D"/>
    <w:rsid w:val="003979BA"/>
    <w:rsid w:val="003F53E4"/>
    <w:rsid w:val="00523D86"/>
    <w:rsid w:val="005B221A"/>
    <w:rsid w:val="005F4158"/>
    <w:rsid w:val="008B54F1"/>
    <w:rsid w:val="009B1AB0"/>
    <w:rsid w:val="00DC1C27"/>
    <w:rsid w:val="00F8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27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27"/>
    <w:pPr>
      <w:ind w:left="720"/>
    </w:pPr>
  </w:style>
  <w:style w:type="table" w:styleId="TableGrid">
    <w:name w:val="Table Grid"/>
    <w:basedOn w:val="TableNormal"/>
    <w:uiPriority w:val="39"/>
    <w:rsid w:val="005F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1A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1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1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cp:lastPrinted>2022-06-02T05:35:00Z</cp:lastPrinted>
  <dcterms:created xsi:type="dcterms:W3CDTF">2022-06-08T12:27:00Z</dcterms:created>
  <dcterms:modified xsi:type="dcterms:W3CDTF">2022-06-08T12:27:00Z</dcterms:modified>
</cp:coreProperties>
</file>