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055E7">
      <w:pPr>
        <w:spacing w:after="200" w:line="276" w:lineRule="auto"/>
        <w:jc w:val="center"/>
        <w:rPr>
          <w:rFonts w:ascii="Arial" w:eastAsia="Calibri" w:hAnsi="Arial" w:cs="Arial"/>
          <w:b/>
          <w:bCs/>
          <w:lang w:val="en-ZA"/>
        </w:rPr>
      </w:pPr>
    </w:p>
    <w:p w:rsidR="00000000" w:rsidRDefault="005F6C50">
      <w:pPr>
        <w:spacing w:after="200" w:line="276" w:lineRule="auto"/>
        <w:jc w:val="center"/>
        <w:rPr>
          <w:rFonts w:ascii="Arial" w:eastAsia="Calibri" w:hAnsi="Arial" w:cs="Arial"/>
          <w:b/>
          <w:bCs/>
          <w:lang w:val="en-ZA"/>
        </w:rPr>
      </w:pPr>
      <w:r>
        <w:rPr>
          <w:rFonts w:ascii="Arial" w:eastAsia="Calibri" w:hAnsi="Arial" w:cs="Arial"/>
          <w:b/>
          <w:bCs/>
          <w:noProof/>
          <w:lang w:val="en-ZA" w:eastAsia="en-ZA"/>
        </w:rPr>
        <w:drawing>
          <wp:inline distT="0" distB="0" distL="0" distR="0">
            <wp:extent cx="956945" cy="7988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56945" cy="798830"/>
                    </a:xfrm>
                    <a:prstGeom prst="rect">
                      <a:avLst/>
                    </a:prstGeom>
                    <a:noFill/>
                    <a:ln w="9525">
                      <a:noFill/>
                      <a:miter lim="800000"/>
                      <a:headEnd/>
                      <a:tailEnd/>
                    </a:ln>
                  </pic:spPr>
                </pic:pic>
              </a:graphicData>
            </a:graphic>
          </wp:inline>
        </w:drawing>
      </w:r>
    </w:p>
    <w:p w:rsidR="00000000" w:rsidRDefault="002055E7">
      <w:pPr>
        <w:jc w:val="center"/>
        <w:rPr>
          <w:rFonts w:ascii="Arial" w:eastAsia="Calibri" w:hAnsi="Arial" w:cs="Arial"/>
          <w:b/>
          <w:lang w:val="en-ZA"/>
        </w:rPr>
      </w:pPr>
      <w:r>
        <w:rPr>
          <w:rFonts w:ascii="Arial" w:eastAsia="Calibri" w:hAnsi="Arial" w:cs="Arial"/>
          <w:b/>
          <w:lang w:val="en-ZA"/>
        </w:rPr>
        <w:t>MINISTRY:  JUSTICE AND CORRECTIONAL SERVICES</w:t>
      </w:r>
    </w:p>
    <w:p w:rsidR="00000000" w:rsidRDefault="002055E7">
      <w:pPr>
        <w:jc w:val="center"/>
        <w:outlineLvl w:val="0"/>
        <w:rPr>
          <w:rFonts w:ascii="Arial" w:eastAsia="Arial Unicode MS" w:hAnsi="Arial"/>
          <w:b/>
          <w:color w:val="000000"/>
          <w:szCs w:val="20"/>
          <w:lang w:val="en-ZA" w:eastAsia="en-ZA"/>
        </w:rPr>
      </w:pPr>
      <w:r>
        <w:rPr>
          <w:rFonts w:ascii="Arial" w:eastAsia="Arial Unicode MS" w:hAnsi="Arial Unicode MS"/>
          <w:b/>
          <w:color w:val="000000"/>
          <w:szCs w:val="20"/>
          <w:lang w:val="en-ZA" w:eastAsia="en-ZA"/>
        </w:rPr>
        <w:t>REPUBLIC OF SOUTH AFRICA</w:t>
      </w:r>
    </w:p>
    <w:p w:rsidR="00000000" w:rsidRDefault="002055E7">
      <w:pPr>
        <w:pBdr>
          <w:bottom w:val="single" w:sz="4" w:space="0" w:color="auto"/>
        </w:pBdr>
        <w:spacing w:after="200" w:line="276" w:lineRule="auto"/>
        <w:jc w:val="center"/>
        <w:rPr>
          <w:rFonts w:ascii="Arial" w:eastAsia="Calibri" w:hAnsi="Arial" w:cs="Arial"/>
          <w:b/>
          <w:bCs/>
          <w:lang w:val="en-ZA"/>
        </w:rPr>
      </w:pPr>
    </w:p>
    <w:p w:rsidR="00000000" w:rsidRDefault="002055E7">
      <w:pPr>
        <w:spacing w:after="200" w:line="276" w:lineRule="auto"/>
        <w:jc w:val="center"/>
        <w:rPr>
          <w:rFonts w:ascii="Arial" w:eastAsia="Calibri" w:hAnsi="Arial" w:cs="Arial"/>
          <w:b/>
          <w:bCs/>
          <w:lang w:val="en-ZA"/>
        </w:rPr>
      </w:pPr>
    </w:p>
    <w:p w:rsidR="00000000" w:rsidRDefault="002055E7">
      <w:pPr>
        <w:spacing w:after="200" w:line="276" w:lineRule="auto"/>
        <w:jc w:val="both"/>
        <w:rPr>
          <w:rFonts w:ascii="Arial" w:eastAsia="Calibri" w:hAnsi="Arial" w:cs="Arial"/>
          <w:b/>
          <w:bCs/>
          <w:lang w:val="en-GB"/>
        </w:rPr>
      </w:pPr>
      <w:r>
        <w:rPr>
          <w:rFonts w:ascii="Arial" w:eastAsia="Calibri" w:hAnsi="Arial" w:cs="Arial"/>
          <w:b/>
          <w:bCs/>
          <w:lang w:val="en-ZA"/>
        </w:rPr>
        <w:t>NATIONAL ASSEMBLY</w:t>
      </w:r>
    </w:p>
    <w:p w:rsidR="00000000" w:rsidRDefault="002055E7">
      <w:pPr>
        <w:spacing w:after="200" w:line="276" w:lineRule="auto"/>
        <w:jc w:val="both"/>
        <w:rPr>
          <w:rFonts w:ascii="Arial" w:eastAsia="Calibri" w:hAnsi="Arial" w:cs="Arial"/>
          <w:b/>
          <w:bCs/>
          <w:lang w:val="en-GB"/>
        </w:rPr>
      </w:pPr>
      <w:r>
        <w:rPr>
          <w:rFonts w:ascii="Arial" w:eastAsia="Calibri" w:hAnsi="Arial" w:cs="Arial"/>
          <w:b/>
          <w:bCs/>
          <w:lang w:val="en-GB"/>
        </w:rPr>
        <w:t xml:space="preserve">QUESTION </w:t>
      </w:r>
      <w:r>
        <w:rPr>
          <w:rFonts w:ascii="Arial" w:eastAsia="Calibri" w:hAnsi="Arial" w:cs="Arial"/>
          <w:b/>
          <w:bCs/>
          <w:lang w:val="en-GB"/>
        </w:rPr>
        <w:t>FOR WRITTEN REPLY</w:t>
      </w:r>
    </w:p>
    <w:p w:rsidR="00000000" w:rsidRDefault="002055E7">
      <w:pPr>
        <w:spacing w:after="200" w:line="276" w:lineRule="auto"/>
        <w:jc w:val="both"/>
        <w:rPr>
          <w:rFonts w:ascii="Arial" w:eastAsia="Calibri" w:hAnsi="Arial" w:cs="Arial"/>
          <w:b/>
          <w:bCs/>
          <w:lang w:val="en-GB"/>
        </w:rPr>
      </w:pPr>
      <w:r>
        <w:rPr>
          <w:rFonts w:ascii="Arial" w:eastAsia="Calibri" w:hAnsi="Arial" w:cs="Arial"/>
          <w:b/>
          <w:bCs/>
          <w:lang w:val="en-GB"/>
        </w:rPr>
        <w:t xml:space="preserve">PARLIAMENTARY </w:t>
      </w:r>
      <w:r>
        <w:rPr>
          <w:rFonts w:ascii="Arial" w:eastAsia="Calibri" w:hAnsi="Arial" w:cs="Arial"/>
          <w:b/>
          <w:bCs/>
          <w:lang w:val="en-GB"/>
        </w:rPr>
        <w:t xml:space="preserve">QUESTION </w:t>
      </w:r>
      <w:r>
        <w:rPr>
          <w:rFonts w:ascii="Arial" w:eastAsia="Calibri" w:hAnsi="Arial" w:cs="Arial"/>
          <w:b/>
          <w:bCs/>
          <w:lang w:val="en-GB"/>
        </w:rPr>
        <w:t xml:space="preserve">NO: </w:t>
      </w:r>
      <w:r>
        <w:rPr>
          <w:rFonts w:ascii="Arial" w:eastAsia="Calibri" w:hAnsi="Arial" w:cs="Arial"/>
          <w:b/>
          <w:bCs/>
          <w:lang w:val="en-GB"/>
        </w:rPr>
        <w:t>1872</w:t>
      </w:r>
    </w:p>
    <w:p w:rsidR="00000000" w:rsidRDefault="002055E7">
      <w:pPr>
        <w:spacing w:after="200" w:line="276" w:lineRule="auto"/>
        <w:jc w:val="both"/>
        <w:rPr>
          <w:rFonts w:ascii="Arial" w:eastAsia="Calibri" w:hAnsi="Arial" w:cs="Arial"/>
          <w:b/>
          <w:bCs/>
          <w:lang w:val="en-GB"/>
        </w:rPr>
      </w:pPr>
      <w:r>
        <w:rPr>
          <w:rFonts w:ascii="Arial" w:eastAsia="Calibri" w:hAnsi="Arial" w:cs="Arial"/>
          <w:b/>
          <w:bCs/>
          <w:lang w:val="en-GB"/>
        </w:rPr>
        <w:t>DATE OF QUESTION : 13</w:t>
      </w:r>
      <w:r>
        <w:rPr>
          <w:rFonts w:ascii="Arial" w:eastAsia="Calibri" w:hAnsi="Arial" w:cs="Arial"/>
          <w:b/>
          <w:bCs/>
          <w:lang w:val="en-GB"/>
        </w:rPr>
        <w:t xml:space="preserve"> MAY </w:t>
      </w:r>
      <w:r>
        <w:rPr>
          <w:rFonts w:ascii="Arial" w:eastAsia="Calibri" w:hAnsi="Arial" w:cs="Arial"/>
          <w:b/>
          <w:bCs/>
          <w:lang w:val="en-GB"/>
        </w:rPr>
        <w:t>2022</w:t>
      </w:r>
    </w:p>
    <w:p w:rsidR="00000000" w:rsidRDefault="002055E7">
      <w:pPr>
        <w:spacing w:after="200" w:line="276" w:lineRule="auto"/>
        <w:jc w:val="both"/>
        <w:rPr>
          <w:rFonts w:ascii="Arial" w:eastAsia="Calibri" w:hAnsi="Arial" w:cs="Arial"/>
          <w:b/>
          <w:bCs/>
          <w:lang w:val="en-GB"/>
        </w:rPr>
      </w:pPr>
      <w:r>
        <w:rPr>
          <w:rFonts w:ascii="Arial" w:eastAsia="Calibri" w:hAnsi="Arial" w:cs="Arial"/>
          <w:b/>
          <w:bCs/>
          <w:lang w:val="en-GB"/>
        </w:rPr>
        <w:t>D</w:t>
      </w:r>
      <w:r>
        <w:rPr>
          <w:rFonts w:ascii="Arial" w:eastAsia="Calibri" w:hAnsi="Arial" w:cs="Arial"/>
          <w:b/>
          <w:bCs/>
          <w:lang w:val="en-GB"/>
        </w:rPr>
        <w:t>ATE OF SUBMISSION: 27 MAY 2022</w:t>
      </w:r>
    </w:p>
    <w:p w:rsidR="00000000" w:rsidRDefault="002055E7">
      <w:pPr>
        <w:spacing w:before="100" w:beforeAutospacing="1" w:after="100" w:afterAutospacing="1" w:line="276" w:lineRule="auto"/>
        <w:jc w:val="center"/>
        <w:outlineLvl w:val="0"/>
        <w:rPr>
          <w:rFonts w:ascii="Arial" w:eastAsia="Calibri" w:hAnsi="Arial" w:cs="Arial"/>
          <w:b/>
          <w:bCs/>
          <w:u w:val="single"/>
          <w:lang w:val="en-GB"/>
        </w:rPr>
      </w:pPr>
    </w:p>
    <w:p w:rsidR="00000000" w:rsidRDefault="002055E7">
      <w:pPr>
        <w:spacing w:before="120" w:after="120" w:line="360" w:lineRule="auto"/>
        <w:jc w:val="both"/>
        <w:rPr>
          <w:rFonts w:ascii="Arial" w:hAnsi="Arial" w:cs="Arial"/>
          <w:b/>
          <w:bCs/>
          <w:lang w:val="en-ZA"/>
        </w:rPr>
      </w:pPr>
      <w:r>
        <w:rPr>
          <w:rFonts w:ascii="Arial" w:hAnsi="Arial" w:cs="Arial"/>
          <w:b/>
          <w:bCs/>
          <w:lang w:val="en-ZA"/>
        </w:rPr>
        <w:t>Adv G Breyten</w:t>
      </w:r>
      <w:r>
        <w:rPr>
          <w:rFonts w:ascii="Arial" w:hAnsi="Arial" w:cs="Arial"/>
          <w:b/>
          <w:bCs/>
          <w:lang w:val="en-ZA"/>
        </w:rPr>
        <w:t xml:space="preserve">bach (DA) to ask the Minister of Justice and Correctional Services: </w:t>
      </w:r>
    </w:p>
    <w:p w:rsidR="00000000" w:rsidRDefault="002055E7">
      <w:pPr>
        <w:numPr>
          <w:ilvl w:val="0"/>
          <w:numId w:val="2"/>
        </w:numPr>
        <w:spacing w:before="120" w:after="120" w:line="360" w:lineRule="auto"/>
        <w:jc w:val="both"/>
        <w:rPr>
          <w:rFonts w:ascii="Arial" w:hAnsi="Arial" w:cs="Arial"/>
          <w:lang w:val="en-ZA"/>
        </w:rPr>
      </w:pPr>
      <w:r>
        <w:rPr>
          <w:rFonts w:ascii="Arial" w:hAnsi="Arial" w:cs="Arial"/>
          <w:lang w:val="en-ZA"/>
        </w:rPr>
        <w:t>What (a) is the (i) average time it takes to issue a letter of executorship by the Masters Offices in the Republic and (ii) turnaround time with regard to each of the 15 offices in the Re</w:t>
      </w:r>
      <w:r>
        <w:rPr>
          <w:rFonts w:ascii="Arial" w:hAnsi="Arial" w:cs="Arial"/>
          <w:lang w:val="en-ZA"/>
        </w:rPr>
        <w:t>public when compared to the legislated time period for the issue of such a letter and (b) are the primary reasons for taking any periods of time longer than the legislated period and (c) is the acceptable time period, besides the legislated time, for the i</w:t>
      </w:r>
      <w:r>
        <w:rPr>
          <w:rFonts w:ascii="Arial" w:hAnsi="Arial" w:cs="Arial"/>
          <w:lang w:val="en-ZA"/>
        </w:rPr>
        <w:t xml:space="preserve">ssue of executorship letters; </w:t>
      </w:r>
    </w:p>
    <w:p w:rsidR="00000000" w:rsidRDefault="002055E7">
      <w:pPr>
        <w:numPr>
          <w:ilvl w:val="0"/>
          <w:numId w:val="2"/>
        </w:numPr>
        <w:spacing w:before="120" w:after="120" w:line="360" w:lineRule="auto"/>
        <w:jc w:val="both"/>
        <w:rPr>
          <w:rFonts w:ascii="Arial" w:hAnsi="Arial" w:cs="Arial"/>
          <w:lang w:val="en-ZA"/>
        </w:rPr>
      </w:pPr>
      <w:r>
        <w:rPr>
          <w:rFonts w:ascii="Arial" w:hAnsi="Arial" w:cs="Arial"/>
          <w:lang w:val="en-ZA"/>
        </w:rPr>
        <w:t xml:space="preserve">Whether the time frame is (a) measured and/or (b) accessed by his department; if not, why not; if so, what are the relevant details in each case? </w:t>
      </w:r>
    </w:p>
    <w:p w:rsidR="00000000" w:rsidRDefault="002055E7">
      <w:pPr>
        <w:spacing w:before="120" w:after="120" w:line="360" w:lineRule="auto"/>
        <w:jc w:val="right"/>
        <w:rPr>
          <w:rFonts w:ascii="Arial" w:hAnsi="Arial" w:cs="Arial"/>
          <w:b/>
          <w:lang w:val="en-ZA"/>
        </w:rPr>
      </w:pPr>
      <w:r>
        <w:rPr>
          <w:rFonts w:ascii="Arial" w:hAnsi="Arial" w:cs="Arial"/>
          <w:b/>
          <w:lang w:val="en-ZA"/>
        </w:rPr>
        <w:t>NW2208E</w:t>
      </w:r>
    </w:p>
    <w:p w:rsidR="00000000" w:rsidRDefault="002055E7">
      <w:pPr>
        <w:spacing w:line="360" w:lineRule="auto"/>
        <w:jc w:val="both"/>
        <w:rPr>
          <w:rFonts w:ascii="Arial" w:hAnsi="Arial" w:cs="Arial"/>
          <w:b/>
        </w:rPr>
      </w:pPr>
      <w:r>
        <w:rPr>
          <w:rFonts w:ascii="Arial" w:hAnsi="Arial" w:cs="Arial"/>
          <w:lang w:val="en-ZA"/>
        </w:rPr>
        <w:br w:type="page"/>
      </w:r>
      <w:r>
        <w:rPr>
          <w:rFonts w:ascii="Arial" w:hAnsi="Arial" w:cs="Arial"/>
          <w:b/>
        </w:rPr>
        <w:lastRenderedPageBreak/>
        <w:t>REPLY:</w:t>
      </w:r>
    </w:p>
    <w:p w:rsidR="00000000" w:rsidRDefault="002055E7">
      <w:pPr>
        <w:spacing w:line="360" w:lineRule="auto"/>
        <w:jc w:val="both"/>
        <w:rPr>
          <w:rFonts w:ascii="Arial" w:hAnsi="Arial" w:cs="Arial"/>
          <w:lang w:val="en-ZA"/>
        </w:rPr>
      </w:pPr>
    </w:p>
    <w:p w:rsidR="00000000" w:rsidRDefault="002055E7">
      <w:pPr>
        <w:numPr>
          <w:ilvl w:val="0"/>
          <w:numId w:val="3"/>
        </w:numPr>
        <w:spacing w:line="360" w:lineRule="auto"/>
        <w:jc w:val="both"/>
        <w:rPr>
          <w:rFonts w:ascii="Arial" w:hAnsi="Arial" w:cs="Arial"/>
        </w:rPr>
      </w:pPr>
      <w:r>
        <w:rPr>
          <w:rFonts w:ascii="Arial" w:hAnsi="Arial" w:cs="Arial"/>
        </w:rPr>
        <w:t>(a) (i) After receiving all required documents, t</w:t>
      </w:r>
      <w:r>
        <w:rPr>
          <w:rFonts w:ascii="Arial" w:hAnsi="Arial" w:cs="Arial"/>
          <w:lang w:val="en-ZA"/>
        </w:rPr>
        <w:t xml:space="preserve">he Masters’ </w:t>
      </w:r>
      <w:r>
        <w:rPr>
          <w:rFonts w:ascii="Arial" w:hAnsi="Arial" w:cs="Arial"/>
          <w:lang w:val="en-ZA"/>
        </w:rPr>
        <w:t xml:space="preserve">Offices </w:t>
      </w:r>
      <w:r>
        <w:rPr>
          <w:rFonts w:ascii="Arial" w:hAnsi="Arial" w:cs="Arial"/>
        </w:rPr>
        <w:t xml:space="preserve">took, on average, </w:t>
      </w:r>
    </w:p>
    <w:p w:rsidR="00000000" w:rsidRDefault="002055E7">
      <w:pPr>
        <w:spacing w:line="360" w:lineRule="auto"/>
        <w:ind w:left="1080"/>
        <w:jc w:val="both"/>
        <w:rPr>
          <w:rFonts w:ascii="Arial" w:hAnsi="Arial" w:cs="Arial"/>
        </w:rPr>
      </w:pPr>
      <w:r>
        <w:rPr>
          <w:rFonts w:ascii="Arial" w:hAnsi="Arial" w:cs="Arial"/>
          <w:lang w:val="en-GB"/>
        </w:rPr>
        <w:t xml:space="preserve">Twenty one </w:t>
      </w:r>
      <w:r>
        <w:rPr>
          <w:rFonts w:ascii="Arial" w:hAnsi="Arial" w:cs="Arial"/>
        </w:rPr>
        <w:t>(</w:t>
      </w:r>
      <w:r>
        <w:rPr>
          <w:rFonts w:ascii="Arial" w:hAnsi="Arial" w:cs="Arial"/>
          <w:lang w:val="en-GB"/>
        </w:rPr>
        <w:t>2</w:t>
      </w:r>
      <w:r>
        <w:rPr>
          <w:rFonts w:ascii="Arial" w:hAnsi="Arial" w:cs="Arial"/>
        </w:rPr>
        <w:t>1) working days to issue appointments such as Letters of Executorship as well as Letters of Authority in the 2021/22 financial year.</w:t>
      </w:r>
    </w:p>
    <w:p w:rsidR="00000000" w:rsidRDefault="002055E7">
      <w:pPr>
        <w:spacing w:line="360" w:lineRule="auto"/>
        <w:ind w:left="360" w:firstLine="360"/>
        <w:jc w:val="both"/>
        <w:rPr>
          <w:rFonts w:ascii="Arial" w:hAnsi="Arial" w:cs="Arial"/>
        </w:rPr>
      </w:pPr>
      <w:r>
        <w:rPr>
          <w:rFonts w:ascii="Arial" w:hAnsi="Arial" w:cs="Arial"/>
        </w:rPr>
        <w:t>(ii) The Administration of Estates Act No. 66 of 1965 does not prescribe a specific</w:t>
      </w:r>
      <w:r>
        <w:rPr>
          <w:rFonts w:ascii="Arial" w:hAnsi="Arial" w:cs="Arial"/>
        </w:rPr>
        <w:t xml:space="preserve"> </w:t>
      </w:r>
    </w:p>
    <w:p w:rsidR="00000000" w:rsidRDefault="002055E7">
      <w:pPr>
        <w:spacing w:line="360" w:lineRule="auto"/>
        <w:ind w:left="1080"/>
        <w:jc w:val="both"/>
        <w:rPr>
          <w:rFonts w:ascii="Arial" w:hAnsi="Arial" w:cs="Arial"/>
          <w:lang w:val="en-GB"/>
        </w:rPr>
      </w:pPr>
      <w:r>
        <w:rPr>
          <w:rFonts w:ascii="Arial" w:hAnsi="Arial" w:cs="Arial"/>
        </w:rPr>
        <w:t>time period within which an appointment in a deceased estate needs to be issued by the Master.</w:t>
      </w:r>
      <w:r>
        <w:rPr>
          <w:rFonts w:ascii="Arial" w:hAnsi="Arial" w:cs="Arial"/>
          <w:lang w:val="en-GB"/>
        </w:rPr>
        <w:t xml:space="preserve"> After receiving all required documents, the Masters Offices did 77% of all appointments within 21 working days after receiving all required documents, in the 2</w:t>
      </w:r>
      <w:r>
        <w:rPr>
          <w:rFonts w:ascii="Arial" w:hAnsi="Arial" w:cs="Arial"/>
          <w:lang w:val="en-GB"/>
        </w:rPr>
        <w:t>021/2022 financial year. The set target for this objective was 65%.</w:t>
      </w:r>
    </w:p>
    <w:p w:rsidR="00000000" w:rsidRDefault="002055E7">
      <w:pPr>
        <w:spacing w:line="360" w:lineRule="auto"/>
        <w:ind w:left="1080"/>
        <w:jc w:val="both"/>
        <w:rPr>
          <w:rFonts w:ascii="Arial" w:hAnsi="Arial" w:cs="Arial"/>
          <w:lang w:val="en-GB"/>
        </w:rPr>
      </w:pPr>
      <w:r>
        <w:rPr>
          <w:rFonts w:ascii="Arial" w:hAnsi="Arial" w:cs="Arial"/>
          <w:lang w:val="en-GB"/>
        </w:rPr>
        <w:t>The average performance over the 2021/2022 financial year, per office, is as follows:</w:t>
      </w:r>
    </w:p>
    <w:p w:rsidR="00000000" w:rsidRDefault="002055E7">
      <w:pPr>
        <w:spacing w:line="360" w:lineRule="auto"/>
        <w:ind w:left="1080"/>
        <w:jc w:val="both"/>
        <w:rPr>
          <w:rFonts w:ascii="Arial" w:hAnsi="Arial" w:cs="Arial"/>
          <w:lang w:val="en-GB"/>
        </w:rPr>
      </w:pPr>
    </w:p>
    <w:tbl>
      <w:tblPr>
        <w:tblStyle w:val="TableGrid"/>
        <w:tblW w:w="0" w:type="auto"/>
        <w:tblInd w:w="0" w:type="dxa"/>
        <w:tblLook w:val="0000"/>
      </w:tblPr>
      <w:tblGrid>
        <w:gridCol w:w="4788"/>
        <w:gridCol w:w="4788"/>
      </w:tblGrid>
      <w:tr w:rsidR="00000000">
        <w:tc>
          <w:tcPr>
            <w:tcW w:w="4788" w:type="dxa"/>
          </w:tcPr>
          <w:p w:rsidR="00000000" w:rsidRDefault="002055E7">
            <w:pPr>
              <w:spacing w:line="360" w:lineRule="auto"/>
              <w:jc w:val="center"/>
              <w:rPr>
                <w:rFonts w:ascii="Arial" w:hAnsi="Arial"/>
                <w:lang w:val="en-GB"/>
              </w:rPr>
            </w:pPr>
            <w:r>
              <w:rPr>
                <w:rFonts w:ascii="Arial" w:hAnsi="Arial"/>
                <w:b/>
                <w:bCs/>
                <w:lang w:val="en-GB"/>
              </w:rPr>
              <w:t>OFFICE</w:t>
            </w:r>
          </w:p>
        </w:tc>
        <w:tc>
          <w:tcPr>
            <w:tcW w:w="4788" w:type="dxa"/>
          </w:tcPr>
          <w:p w:rsidR="00000000" w:rsidRDefault="002055E7">
            <w:pPr>
              <w:spacing w:line="360" w:lineRule="auto"/>
              <w:jc w:val="center"/>
              <w:rPr>
                <w:rFonts w:ascii="Arial" w:hAnsi="Arial"/>
                <w:lang w:val="en-GB"/>
              </w:rPr>
            </w:pPr>
            <w:r>
              <w:rPr>
                <w:rFonts w:ascii="Arial" w:hAnsi="Arial"/>
                <w:b/>
                <w:bCs/>
                <w:lang w:val="en-GB"/>
              </w:rPr>
              <w:t>PERFORMANCE</w:t>
            </w:r>
          </w:p>
        </w:tc>
      </w:tr>
      <w:tr w:rsidR="00000000">
        <w:tc>
          <w:tcPr>
            <w:tcW w:w="4788" w:type="dxa"/>
          </w:tcPr>
          <w:p w:rsidR="00000000" w:rsidRDefault="002055E7">
            <w:pPr>
              <w:spacing w:line="360" w:lineRule="auto"/>
              <w:jc w:val="both"/>
              <w:rPr>
                <w:rFonts w:ascii="Arial" w:hAnsi="Arial"/>
                <w:lang w:val="en-GB"/>
              </w:rPr>
            </w:pPr>
            <w:r>
              <w:rPr>
                <w:rFonts w:ascii="Arial" w:hAnsi="Arial"/>
                <w:lang w:val="en-GB"/>
              </w:rPr>
              <w:t>BISHO</w:t>
            </w:r>
          </w:p>
        </w:tc>
        <w:tc>
          <w:tcPr>
            <w:tcW w:w="4788" w:type="dxa"/>
          </w:tcPr>
          <w:p w:rsidR="00000000" w:rsidRDefault="002055E7">
            <w:pPr>
              <w:spacing w:line="360" w:lineRule="auto"/>
              <w:jc w:val="both"/>
              <w:rPr>
                <w:rFonts w:ascii="Arial" w:hAnsi="Arial"/>
                <w:lang w:val="en-GB"/>
              </w:rPr>
            </w:pPr>
            <w:r>
              <w:rPr>
                <w:rFonts w:ascii="Arial" w:hAnsi="Arial"/>
                <w:lang w:val="en-GB"/>
              </w:rPr>
              <w:t>97.83%</w:t>
            </w:r>
          </w:p>
        </w:tc>
      </w:tr>
      <w:tr w:rsidR="00000000">
        <w:tc>
          <w:tcPr>
            <w:tcW w:w="4788" w:type="dxa"/>
          </w:tcPr>
          <w:p w:rsidR="00000000" w:rsidRDefault="002055E7">
            <w:pPr>
              <w:spacing w:line="360" w:lineRule="auto"/>
              <w:jc w:val="both"/>
              <w:rPr>
                <w:rFonts w:ascii="Arial" w:hAnsi="Arial"/>
                <w:lang w:val="en-GB"/>
              </w:rPr>
            </w:pPr>
            <w:r>
              <w:rPr>
                <w:rFonts w:ascii="Arial" w:hAnsi="Arial"/>
                <w:lang w:val="en-GB"/>
              </w:rPr>
              <w:t xml:space="preserve">BLOEMFONTEIN </w:t>
            </w:r>
          </w:p>
        </w:tc>
        <w:tc>
          <w:tcPr>
            <w:tcW w:w="4788" w:type="dxa"/>
          </w:tcPr>
          <w:p w:rsidR="00000000" w:rsidRDefault="002055E7">
            <w:pPr>
              <w:spacing w:line="360" w:lineRule="auto"/>
              <w:jc w:val="both"/>
              <w:rPr>
                <w:rFonts w:ascii="Arial" w:hAnsi="Arial"/>
                <w:lang w:val="en-GB"/>
              </w:rPr>
            </w:pPr>
            <w:r>
              <w:rPr>
                <w:rFonts w:ascii="Arial" w:hAnsi="Arial"/>
                <w:lang w:val="en-GB"/>
              </w:rPr>
              <w:t>84.51%</w:t>
            </w:r>
          </w:p>
        </w:tc>
      </w:tr>
      <w:tr w:rsidR="00000000">
        <w:tc>
          <w:tcPr>
            <w:tcW w:w="4788" w:type="dxa"/>
          </w:tcPr>
          <w:p w:rsidR="00000000" w:rsidRDefault="002055E7">
            <w:pPr>
              <w:spacing w:line="360" w:lineRule="auto"/>
              <w:jc w:val="both"/>
              <w:rPr>
                <w:rFonts w:ascii="Arial" w:hAnsi="Arial"/>
                <w:lang w:val="en-GB"/>
              </w:rPr>
            </w:pPr>
            <w:r>
              <w:rPr>
                <w:rFonts w:ascii="Arial" w:hAnsi="Arial"/>
                <w:lang w:val="en-GB"/>
              </w:rPr>
              <w:t>CAPE TOWN</w:t>
            </w:r>
          </w:p>
        </w:tc>
        <w:tc>
          <w:tcPr>
            <w:tcW w:w="4788" w:type="dxa"/>
          </w:tcPr>
          <w:p w:rsidR="00000000" w:rsidRDefault="002055E7">
            <w:pPr>
              <w:spacing w:line="360" w:lineRule="auto"/>
              <w:jc w:val="both"/>
              <w:rPr>
                <w:rFonts w:ascii="Arial" w:hAnsi="Arial"/>
                <w:lang w:val="en-GB"/>
              </w:rPr>
            </w:pPr>
            <w:r>
              <w:rPr>
                <w:rFonts w:ascii="Arial" w:hAnsi="Arial"/>
                <w:lang w:val="en-GB"/>
              </w:rPr>
              <w:t>56.12%</w:t>
            </w:r>
          </w:p>
        </w:tc>
      </w:tr>
      <w:tr w:rsidR="00000000">
        <w:tc>
          <w:tcPr>
            <w:tcW w:w="4788" w:type="dxa"/>
          </w:tcPr>
          <w:p w:rsidR="00000000" w:rsidRDefault="002055E7">
            <w:pPr>
              <w:spacing w:line="360" w:lineRule="auto"/>
              <w:jc w:val="both"/>
              <w:rPr>
                <w:rFonts w:ascii="Arial" w:hAnsi="Arial"/>
                <w:lang w:val="en-GB"/>
              </w:rPr>
            </w:pPr>
            <w:r>
              <w:rPr>
                <w:rFonts w:ascii="Arial" w:hAnsi="Arial"/>
                <w:lang w:val="en-GB"/>
              </w:rPr>
              <w:t>DURBAN</w:t>
            </w:r>
          </w:p>
        </w:tc>
        <w:tc>
          <w:tcPr>
            <w:tcW w:w="4788" w:type="dxa"/>
          </w:tcPr>
          <w:p w:rsidR="00000000" w:rsidRDefault="002055E7">
            <w:pPr>
              <w:spacing w:line="360" w:lineRule="auto"/>
              <w:jc w:val="both"/>
              <w:rPr>
                <w:rFonts w:ascii="Arial" w:hAnsi="Arial"/>
                <w:lang w:val="en-GB"/>
              </w:rPr>
            </w:pPr>
            <w:r>
              <w:rPr>
                <w:rFonts w:ascii="Arial" w:hAnsi="Arial"/>
                <w:lang w:val="en-GB"/>
              </w:rPr>
              <w:t>75.87%</w:t>
            </w:r>
          </w:p>
        </w:tc>
      </w:tr>
      <w:tr w:rsidR="00000000">
        <w:tc>
          <w:tcPr>
            <w:tcW w:w="4788" w:type="dxa"/>
          </w:tcPr>
          <w:p w:rsidR="00000000" w:rsidRDefault="002055E7">
            <w:pPr>
              <w:spacing w:line="360" w:lineRule="auto"/>
              <w:jc w:val="both"/>
              <w:rPr>
                <w:rFonts w:ascii="Arial" w:hAnsi="Arial"/>
                <w:lang w:val="en-GB"/>
              </w:rPr>
            </w:pPr>
            <w:r>
              <w:rPr>
                <w:rFonts w:ascii="Arial" w:hAnsi="Arial"/>
                <w:lang w:val="en-GB"/>
              </w:rPr>
              <w:t>GRAHAMSTOWN</w:t>
            </w:r>
          </w:p>
        </w:tc>
        <w:tc>
          <w:tcPr>
            <w:tcW w:w="4788" w:type="dxa"/>
          </w:tcPr>
          <w:p w:rsidR="00000000" w:rsidRDefault="002055E7">
            <w:pPr>
              <w:spacing w:line="360" w:lineRule="auto"/>
              <w:jc w:val="both"/>
              <w:rPr>
                <w:rFonts w:ascii="Arial" w:hAnsi="Arial"/>
                <w:lang w:val="en-GB"/>
              </w:rPr>
            </w:pPr>
            <w:r>
              <w:rPr>
                <w:rFonts w:ascii="Arial" w:hAnsi="Arial"/>
                <w:lang w:val="en-GB"/>
              </w:rPr>
              <w:t>87.28%</w:t>
            </w:r>
          </w:p>
        </w:tc>
      </w:tr>
      <w:tr w:rsidR="00000000">
        <w:tc>
          <w:tcPr>
            <w:tcW w:w="4788" w:type="dxa"/>
          </w:tcPr>
          <w:p w:rsidR="00000000" w:rsidRDefault="002055E7">
            <w:pPr>
              <w:spacing w:line="360" w:lineRule="auto"/>
              <w:jc w:val="both"/>
              <w:rPr>
                <w:rFonts w:ascii="Arial" w:hAnsi="Arial"/>
                <w:lang w:val="en-GB"/>
              </w:rPr>
            </w:pPr>
            <w:r>
              <w:rPr>
                <w:rFonts w:ascii="Arial" w:hAnsi="Arial"/>
                <w:lang w:val="en-GB"/>
              </w:rPr>
              <w:t>JOHANNESBURG</w:t>
            </w:r>
          </w:p>
        </w:tc>
        <w:tc>
          <w:tcPr>
            <w:tcW w:w="4788" w:type="dxa"/>
          </w:tcPr>
          <w:p w:rsidR="00000000" w:rsidRDefault="002055E7">
            <w:pPr>
              <w:spacing w:line="360" w:lineRule="auto"/>
              <w:jc w:val="both"/>
              <w:rPr>
                <w:rFonts w:ascii="Arial" w:hAnsi="Arial"/>
                <w:lang w:val="en-GB"/>
              </w:rPr>
            </w:pPr>
            <w:r>
              <w:rPr>
                <w:rFonts w:ascii="Arial" w:hAnsi="Arial"/>
                <w:lang w:val="en-GB"/>
              </w:rPr>
              <w:t>92.26%</w:t>
            </w:r>
          </w:p>
        </w:tc>
      </w:tr>
      <w:tr w:rsidR="00000000">
        <w:tc>
          <w:tcPr>
            <w:tcW w:w="4788" w:type="dxa"/>
          </w:tcPr>
          <w:p w:rsidR="00000000" w:rsidRDefault="002055E7">
            <w:pPr>
              <w:spacing w:line="360" w:lineRule="auto"/>
              <w:jc w:val="both"/>
              <w:rPr>
                <w:rFonts w:ascii="Arial" w:hAnsi="Arial"/>
                <w:lang w:val="en-GB"/>
              </w:rPr>
            </w:pPr>
            <w:r>
              <w:rPr>
                <w:rFonts w:ascii="Arial" w:hAnsi="Arial"/>
                <w:lang w:val="en-GB"/>
              </w:rPr>
              <w:t>KIMBERLEY</w:t>
            </w:r>
          </w:p>
        </w:tc>
        <w:tc>
          <w:tcPr>
            <w:tcW w:w="4788" w:type="dxa"/>
          </w:tcPr>
          <w:p w:rsidR="00000000" w:rsidRDefault="002055E7">
            <w:pPr>
              <w:spacing w:line="360" w:lineRule="auto"/>
              <w:jc w:val="both"/>
              <w:rPr>
                <w:rFonts w:ascii="Arial" w:hAnsi="Arial"/>
                <w:lang w:val="en-GB"/>
              </w:rPr>
            </w:pPr>
            <w:r>
              <w:rPr>
                <w:rFonts w:ascii="Arial" w:hAnsi="Arial"/>
                <w:lang w:val="en-GB"/>
              </w:rPr>
              <w:t>39.53%</w:t>
            </w:r>
          </w:p>
        </w:tc>
      </w:tr>
      <w:tr w:rsidR="00000000">
        <w:tc>
          <w:tcPr>
            <w:tcW w:w="4788" w:type="dxa"/>
          </w:tcPr>
          <w:p w:rsidR="00000000" w:rsidRDefault="002055E7">
            <w:pPr>
              <w:spacing w:line="360" w:lineRule="auto"/>
              <w:jc w:val="both"/>
              <w:rPr>
                <w:rFonts w:ascii="Arial" w:hAnsi="Arial"/>
                <w:lang w:val="en-GB"/>
              </w:rPr>
            </w:pPr>
            <w:r>
              <w:rPr>
                <w:rFonts w:ascii="Arial" w:hAnsi="Arial"/>
                <w:lang w:val="en-GB"/>
              </w:rPr>
              <w:t>MAHIKENG</w:t>
            </w:r>
          </w:p>
        </w:tc>
        <w:tc>
          <w:tcPr>
            <w:tcW w:w="4788" w:type="dxa"/>
          </w:tcPr>
          <w:p w:rsidR="00000000" w:rsidRDefault="002055E7">
            <w:pPr>
              <w:spacing w:line="360" w:lineRule="auto"/>
              <w:jc w:val="both"/>
              <w:rPr>
                <w:rFonts w:ascii="Arial" w:hAnsi="Arial"/>
                <w:lang w:val="en-GB"/>
              </w:rPr>
            </w:pPr>
            <w:r>
              <w:rPr>
                <w:rFonts w:ascii="Arial" w:hAnsi="Arial"/>
                <w:lang w:val="en-GB"/>
              </w:rPr>
              <w:t>79.78%</w:t>
            </w:r>
          </w:p>
        </w:tc>
      </w:tr>
      <w:tr w:rsidR="00000000">
        <w:trPr>
          <w:trHeight w:val="433"/>
        </w:trPr>
        <w:tc>
          <w:tcPr>
            <w:tcW w:w="4788" w:type="dxa"/>
          </w:tcPr>
          <w:p w:rsidR="00000000" w:rsidRDefault="002055E7">
            <w:pPr>
              <w:spacing w:line="360" w:lineRule="auto"/>
              <w:jc w:val="both"/>
              <w:rPr>
                <w:rFonts w:ascii="Arial" w:hAnsi="Arial"/>
                <w:lang w:val="en-GB"/>
              </w:rPr>
            </w:pPr>
            <w:r>
              <w:rPr>
                <w:rFonts w:ascii="Arial" w:hAnsi="Arial"/>
                <w:lang w:val="en-GB"/>
              </w:rPr>
              <w:t>MTHATHA</w:t>
            </w:r>
          </w:p>
        </w:tc>
        <w:tc>
          <w:tcPr>
            <w:tcW w:w="4788" w:type="dxa"/>
          </w:tcPr>
          <w:p w:rsidR="00000000" w:rsidRDefault="002055E7">
            <w:pPr>
              <w:spacing w:line="360" w:lineRule="auto"/>
              <w:jc w:val="both"/>
              <w:rPr>
                <w:rFonts w:ascii="Arial" w:hAnsi="Arial"/>
                <w:lang w:val="en-GB"/>
              </w:rPr>
            </w:pPr>
            <w:r>
              <w:rPr>
                <w:rFonts w:ascii="Arial" w:hAnsi="Arial"/>
                <w:lang w:val="en-GB"/>
              </w:rPr>
              <w:t>99.99%</w:t>
            </w:r>
          </w:p>
        </w:tc>
      </w:tr>
      <w:tr w:rsidR="00000000">
        <w:tc>
          <w:tcPr>
            <w:tcW w:w="4788" w:type="dxa"/>
          </w:tcPr>
          <w:p w:rsidR="00000000" w:rsidRDefault="002055E7">
            <w:pPr>
              <w:spacing w:line="360" w:lineRule="auto"/>
              <w:jc w:val="both"/>
              <w:rPr>
                <w:rFonts w:ascii="Arial" w:hAnsi="Arial"/>
                <w:lang w:val="en-GB"/>
              </w:rPr>
            </w:pPr>
            <w:r>
              <w:rPr>
                <w:rFonts w:ascii="Arial" w:hAnsi="Arial"/>
                <w:lang w:val="en-GB"/>
              </w:rPr>
              <w:t>NELSPRUIT</w:t>
            </w:r>
          </w:p>
        </w:tc>
        <w:tc>
          <w:tcPr>
            <w:tcW w:w="4788" w:type="dxa"/>
          </w:tcPr>
          <w:p w:rsidR="00000000" w:rsidRDefault="002055E7">
            <w:pPr>
              <w:spacing w:line="360" w:lineRule="auto"/>
              <w:jc w:val="both"/>
              <w:rPr>
                <w:rFonts w:ascii="Arial" w:hAnsi="Arial"/>
                <w:lang w:val="en-GB"/>
              </w:rPr>
            </w:pPr>
            <w:r>
              <w:rPr>
                <w:rFonts w:ascii="Arial" w:hAnsi="Arial"/>
                <w:lang w:val="en-GB"/>
              </w:rPr>
              <w:t>52.96%</w:t>
            </w:r>
          </w:p>
        </w:tc>
      </w:tr>
      <w:tr w:rsidR="00000000">
        <w:tc>
          <w:tcPr>
            <w:tcW w:w="4788" w:type="dxa"/>
          </w:tcPr>
          <w:p w:rsidR="00000000" w:rsidRDefault="002055E7">
            <w:pPr>
              <w:spacing w:line="360" w:lineRule="auto"/>
              <w:jc w:val="both"/>
              <w:rPr>
                <w:rFonts w:ascii="Arial" w:hAnsi="Arial"/>
                <w:lang w:val="en-GB"/>
              </w:rPr>
            </w:pPr>
            <w:r>
              <w:rPr>
                <w:rFonts w:ascii="Arial" w:hAnsi="Arial"/>
                <w:lang w:val="en-GB"/>
              </w:rPr>
              <w:t>PIETERMARITZBURG</w:t>
            </w:r>
          </w:p>
        </w:tc>
        <w:tc>
          <w:tcPr>
            <w:tcW w:w="4788" w:type="dxa"/>
          </w:tcPr>
          <w:p w:rsidR="00000000" w:rsidRDefault="002055E7">
            <w:pPr>
              <w:spacing w:line="360" w:lineRule="auto"/>
              <w:jc w:val="both"/>
              <w:rPr>
                <w:rFonts w:ascii="Arial" w:hAnsi="Arial"/>
                <w:lang w:val="en-GB"/>
              </w:rPr>
            </w:pPr>
            <w:r>
              <w:rPr>
                <w:rFonts w:ascii="Arial" w:hAnsi="Arial"/>
                <w:lang w:val="en-GB"/>
              </w:rPr>
              <w:t>83.09%</w:t>
            </w:r>
          </w:p>
        </w:tc>
      </w:tr>
      <w:tr w:rsidR="00000000">
        <w:tc>
          <w:tcPr>
            <w:tcW w:w="4788" w:type="dxa"/>
          </w:tcPr>
          <w:p w:rsidR="00000000" w:rsidRDefault="002055E7">
            <w:pPr>
              <w:spacing w:line="360" w:lineRule="auto"/>
              <w:jc w:val="both"/>
              <w:rPr>
                <w:rFonts w:ascii="Arial" w:hAnsi="Arial"/>
                <w:lang w:val="en-GB"/>
              </w:rPr>
            </w:pPr>
            <w:r>
              <w:rPr>
                <w:rFonts w:ascii="Arial" w:hAnsi="Arial"/>
                <w:lang w:val="en-GB"/>
              </w:rPr>
              <w:t>POLOKWANE</w:t>
            </w:r>
          </w:p>
        </w:tc>
        <w:tc>
          <w:tcPr>
            <w:tcW w:w="4788" w:type="dxa"/>
          </w:tcPr>
          <w:p w:rsidR="00000000" w:rsidRDefault="002055E7">
            <w:pPr>
              <w:spacing w:line="360" w:lineRule="auto"/>
              <w:jc w:val="both"/>
              <w:rPr>
                <w:rFonts w:ascii="Arial" w:hAnsi="Arial"/>
                <w:lang w:val="en-GB"/>
              </w:rPr>
            </w:pPr>
            <w:r>
              <w:rPr>
                <w:rFonts w:ascii="Arial" w:hAnsi="Arial"/>
                <w:lang w:val="en-GB"/>
              </w:rPr>
              <w:t>80.49%</w:t>
            </w:r>
          </w:p>
        </w:tc>
      </w:tr>
      <w:tr w:rsidR="00000000">
        <w:tc>
          <w:tcPr>
            <w:tcW w:w="4788" w:type="dxa"/>
          </w:tcPr>
          <w:p w:rsidR="00000000" w:rsidRDefault="002055E7">
            <w:pPr>
              <w:spacing w:line="360" w:lineRule="auto"/>
              <w:jc w:val="both"/>
              <w:rPr>
                <w:rFonts w:ascii="Arial" w:hAnsi="Arial"/>
                <w:lang w:val="en-GB"/>
              </w:rPr>
            </w:pPr>
            <w:r>
              <w:rPr>
                <w:rFonts w:ascii="Arial" w:hAnsi="Arial"/>
                <w:lang w:val="en-GB"/>
              </w:rPr>
              <w:t>PORT ELIZABETH</w:t>
            </w:r>
          </w:p>
        </w:tc>
        <w:tc>
          <w:tcPr>
            <w:tcW w:w="4788" w:type="dxa"/>
          </w:tcPr>
          <w:p w:rsidR="00000000" w:rsidRDefault="002055E7">
            <w:pPr>
              <w:spacing w:line="360" w:lineRule="auto"/>
              <w:jc w:val="both"/>
              <w:rPr>
                <w:rFonts w:ascii="Arial" w:hAnsi="Arial"/>
                <w:lang w:val="en-GB"/>
              </w:rPr>
            </w:pPr>
            <w:r>
              <w:rPr>
                <w:rFonts w:ascii="Arial" w:hAnsi="Arial"/>
                <w:lang w:val="en-GB"/>
              </w:rPr>
              <w:t>85.74%</w:t>
            </w:r>
          </w:p>
        </w:tc>
      </w:tr>
      <w:tr w:rsidR="00000000">
        <w:tc>
          <w:tcPr>
            <w:tcW w:w="4788" w:type="dxa"/>
          </w:tcPr>
          <w:p w:rsidR="00000000" w:rsidRDefault="002055E7">
            <w:pPr>
              <w:spacing w:line="360" w:lineRule="auto"/>
              <w:jc w:val="both"/>
              <w:rPr>
                <w:rFonts w:ascii="Arial" w:hAnsi="Arial"/>
                <w:lang w:val="en-GB"/>
              </w:rPr>
            </w:pPr>
            <w:r>
              <w:rPr>
                <w:rFonts w:ascii="Arial" w:hAnsi="Arial"/>
                <w:lang w:val="en-GB"/>
              </w:rPr>
              <w:t>PRETORIA</w:t>
            </w:r>
          </w:p>
        </w:tc>
        <w:tc>
          <w:tcPr>
            <w:tcW w:w="4788" w:type="dxa"/>
          </w:tcPr>
          <w:p w:rsidR="00000000" w:rsidRDefault="002055E7">
            <w:pPr>
              <w:spacing w:line="360" w:lineRule="auto"/>
              <w:jc w:val="both"/>
              <w:rPr>
                <w:rFonts w:ascii="Arial" w:hAnsi="Arial"/>
                <w:lang w:val="en-GB"/>
              </w:rPr>
            </w:pPr>
            <w:r>
              <w:rPr>
                <w:rFonts w:ascii="Arial" w:hAnsi="Arial"/>
                <w:lang w:val="en-GB"/>
              </w:rPr>
              <w:t>63.37%</w:t>
            </w:r>
          </w:p>
        </w:tc>
      </w:tr>
      <w:tr w:rsidR="00000000">
        <w:tc>
          <w:tcPr>
            <w:tcW w:w="4788" w:type="dxa"/>
          </w:tcPr>
          <w:p w:rsidR="00000000" w:rsidRDefault="002055E7">
            <w:pPr>
              <w:spacing w:line="360" w:lineRule="auto"/>
              <w:jc w:val="both"/>
              <w:rPr>
                <w:rFonts w:ascii="Arial" w:hAnsi="Arial"/>
                <w:lang w:val="en-GB"/>
              </w:rPr>
            </w:pPr>
            <w:r>
              <w:rPr>
                <w:rFonts w:ascii="Arial" w:hAnsi="Arial"/>
                <w:lang w:val="en-GB"/>
              </w:rPr>
              <w:t>THOHOYANDOU</w:t>
            </w:r>
          </w:p>
        </w:tc>
        <w:tc>
          <w:tcPr>
            <w:tcW w:w="4788" w:type="dxa"/>
          </w:tcPr>
          <w:p w:rsidR="00000000" w:rsidRDefault="002055E7">
            <w:pPr>
              <w:spacing w:line="360" w:lineRule="auto"/>
              <w:jc w:val="both"/>
              <w:rPr>
                <w:rFonts w:ascii="Arial" w:hAnsi="Arial"/>
                <w:lang w:val="en-GB"/>
              </w:rPr>
            </w:pPr>
            <w:r>
              <w:rPr>
                <w:rFonts w:ascii="Arial" w:hAnsi="Arial"/>
                <w:lang w:val="en-GB"/>
              </w:rPr>
              <w:t>100.00%</w:t>
            </w:r>
          </w:p>
        </w:tc>
      </w:tr>
    </w:tbl>
    <w:p w:rsidR="00000000" w:rsidRDefault="002055E7">
      <w:pPr>
        <w:spacing w:line="360" w:lineRule="auto"/>
        <w:ind w:left="1080"/>
        <w:jc w:val="both"/>
        <w:rPr>
          <w:rFonts w:ascii="Arial" w:hAnsi="Arial" w:cs="Arial"/>
          <w:lang w:val="en-GB"/>
        </w:rPr>
      </w:pPr>
    </w:p>
    <w:p w:rsidR="00000000" w:rsidRDefault="002055E7">
      <w:pPr>
        <w:spacing w:line="360" w:lineRule="auto"/>
        <w:ind w:left="1080"/>
        <w:jc w:val="both"/>
        <w:rPr>
          <w:rFonts w:ascii="Arial" w:hAnsi="Arial" w:cs="Arial"/>
          <w:lang w:val="en-GB"/>
        </w:rPr>
      </w:pPr>
    </w:p>
    <w:p w:rsidR="00000000" w:rsidRDefault="002055E7">
      <w:pPr>
        <w:spacing w:line="360" w:lineRule="auto"/>
        <w:jc w:val="both"/>
        <w:rPr>
          <w:rFonts w:ascii="Arial" w:hAnsi="Arial" w:cs="Arial"/>
        </w:rPr>
      </w:pPr>
    </w:p>
    <w:p w:rsidR="00000000" w:rsidRDefault="002055E7">
      <w:pPr>
        <w:spacing w:line="360" w:lineRule="auto"/>
        <w:ind w:left="360"/>
        <w:jc w:val="both"/>
        <w:rPr>
          <w:rFonts w:ascii="Arial" w:hAnsi="Arial" w:cs="Arial"/>
        </w:rPr>
      </w:pPr>
      <w:r>
        <w:rPr>
          <w:rFonts w:ascii="Arial" w:hAnsi="Arial" w:cs="Arial"/>
        </w:rPr>
        <w:t>(b) The Administration of Estates Act No. 66 of 196</w:t>
      </w:r>
      <w:r>
        <w:rPr>
          <w:rFonts w:ascii="Arial" w:hAnsi="Arial" w:cs="Arial"/>
        </w:rPr>
        <w:t xml:space="preserve">5 does not prescribe a specific </w:t>
      </w:r>
    </w:p>
    <w:p w:rsidR="00000000" w:rsidRDefault="002055E7">
      <w:pPr>
        <w:spacing w:line="360" w:lineRule="auto"/>
        <w:ind w:left="720"/>
        <w:jc w:val="both"/>
        <w:rPr>
          <w:rFonts w:ascii="Arial" w:hAnsi="Arial" w:cs="Arial"/>
        </w:rPr>
      </w:pPr>
      <w:r>
        <w:rPr>
          <w:rFonts w:ascii="Arial" w:hAnsi="Arial" w:cs="Arial"/>
        </w:rPr>
        <w:t>time period within which an appointment in a deceased estate needs to be issued by the Master.</w:t>
      </w:r>
    </w:p>
    <w:p w:rsidR="00000000" w:rsidRDefault="002055E7">
      <w:pPr>
        <w:spacing w:line="360" w:lineRule="auto"/>
        <w:ind w:left="720"/>
        <w:jc w:val="both"/>
        <w:rPr>
          <w:rFonts w:ascii="Arial" w:hAnsi="Arial" w:cs="Arial"/>
        </w:rPr>
      </w:pPr>
    </w:p>
    <w:p w:rsidR="00000000" w:rsidRDefault="002055E7">
      <w:pPr>
        <w:spacing w:line="360" w:lineRule="auto"/>
        <w:ind w:left="360"/>
        <w:jc w:val="both"/>
        <w:rPr>
          <w:rFonts w:ascii="Arial" w:hAnsi="Arial" w:cs="Arial"/>
        </w:rPr>
      </w:pPr>
      <w:r>
        <w:rPr>
          <w:rFonts w:ascii="Arial" w:hAnsi="Arial" w:cs="Arial"/>
        </w:rPr>
        <w:t xml:space="preserve">(c) Each year, the Master’s Branch reconsiders its Annual Performance Plan (APP)’s </w:t>
      </w:r>
    </w:p>
    <w:p w:rsidR="00000000" w:rsidRDefault="002055E7">
      <w:pPr>
        <w:spacing w:line="360" w:lineRule="auto"/>
        <w:ind w:left="720"/>
        <w:jc w:val="both"/>
        <w:rPr>
          <w:rFonts w:ascii="Arial" w:hAnsi="Arial" w:cs="Arial"/>
        </w:rPr>
      </w:pPr>
      <w:r>
        <w:rPr>
          <w:rFonts w:ascii="Arial" w:hAnsi="Arial" w:cs="Arial"/>
        </w:rPr>
        <w:t>objectives to determine if they are still r</w:t>
      </w:r>
      <w:r>
        <w:rPr>
          <w:rFonts w:ascii="Arial" w:hAnsi="Arial" w:cs="Arial"/>
        </w:rPr>
        <w:t>ealistic, and requests to have them adjusted where a need to change them arises. Currently, the target is to issue 70% of all appointments within 21 working days. The acceptable time to issue appointments is influenced by various internal and external fact</w:t>
      </w:r>
      <w:r>
        <w:rPr>
          <w:rFonts w:ascii="Arial" w:hAnsi="Arial" w:cs="Arial"/>
        </w:rPr>
        <w:t xml:space="preserve">ors such as vacancies, Covid-19 Regulations, network speed, load shedding, system downtime and system challenges, etc. It also differs from office-to-office as the workload and demographic of offices are not the same. </w:t>
      </w:r>
    </w:p>
    <w:p w:rsidR="00000000" w:rsidRDefault="002055E7">
      <w:pPr>
        <w:pStyle w:val="ListParagraph"/>
        <w:spacing w:line="360" w:lineRule="auto"/>
        <w:jc w:val="both"/>
        <w:rPr>
          <w:rFonts w:ascii="Arial" w:hAnsi="Arial" w:cs="Arial"/>
        </w:rPr>
      </w:pPr>
    </w:p>
    <w:p w:rsidR="002055E7" w:rsidRDefault="002055E7">
      <w:pPr>
        <w:numPr>
          <w:ilvl w:val="0"/>
          <w:numId w:val="3"/>
        </w:numPr>
        <w:spacing w:line="360" w:lineRule="auto"/>
        <w:jc w:val="both"/>
        <w:rPr>
          <w:rFonts w:ascii="Arial" w:hAnsi="Arial" w:cs="Arial"/>
        </w:rPr>
      </w:pPr>
      <w:r>
        <w:rPr>
          <w:rFonts w:ascii="Arial" w:hAnsi="Arial" w:cs="Arial"/>
        </w:rPr>
        <w:t>The timeframe for the issuing of app</w:t>
      </w:r>
      <w:r>
        <w:rPr>
          <w:rFonts w:ascii="Arial" w:hAnsi="Arial" w:cs="Arial"/>
        </w:rPr>
        <w:t xml:space="preserve">ointments in deceased estates are measured through the APP, which currently have the following output indicator for the 2022/23 financial year: </w:t>
      </w:r>
      <w:r>
        <w:rPr>
          <w:rFonts w:ascii="Arial" w:hAnsi="Arial" w:cs="Arial"/>
          <w:i/>
        </w:rPr>
        <w:t>70% of letters of appointment issued in deceased estates within 21 days from receipt of all required documents</w:t>
      </w:r>
    </w:p>
    <w:sectPr w:rsidR="002055E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5E7" w:rsidRDefault="002055E7" w:rsidP="00AE1263">
      <w:r>
        <w:separator/>
      </w:r>
    </w:p>
  </w:endnote>
  <w:endnote w:type="continuationSeparator" w:id="0">
    <w:p w:rsidR="002055E7" w:rsidRDefault="002055E7" w:rsidP="00AE12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default"/>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055E7">
    <w:pPr>
      <w:pStyle w:val="Footer"/>
      <w:pBdr>
        <w:top w:val="single" w:sz="4" w:space="1" w:color="D9D9D9"/>
      </w:pBdr>
      <w:rPr>
        <w:b/>
        <w:bCs/>
      </w:rPr>
    </w:pPr>
    <w:r>
      <w:fldChar w:fldCharType="begin"/>
    </w:r>
    <w:r>
      <w:instrText xml:space="preserve"> PAGE   \* MERGEFORMAT </w:instrText>
    </w:r>
    <w:r>
      <w:fldChar w:fldCharType="separate"/>
    </w:r>
    <w:r w:rsidRPr="002055E7">
      <w:rPr>
        <w:b/>
        <w:bCs/>
        <w:noProof/>
        <w:lang w:val="en-ZA" w:eastAsia="en-ZA"/>
      </w:rPr>
      <w:t>1</w:t>
    </w:r>
    <w:r>
      <w:rPr>
        <w:b/>
        <w:bCs/>
        <w:lang w:val="en-ZA" w:eastAsia="en-ZA"/>
      </w:rPr>
      <w:fldChar w:fldCharType="end"/>
    </w:r>
    <w:r>
      <w:rPr>
        <w:b/>
        <w:bCs/>
      </w:rPr>
      <w:t xml:space="preserve"> | </w:t>
    </w:r>
    <w:r>
      <w:rPr>
        <w:color w:val="808080"/>
        <w:spacing w:val="60"/>
      </w:rPr>
      <w:t>Page</w:t>
    </w:r>
  </w:p>
  <w:p w:rsidR="00000000" w:rsidRDefault="002055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5E7" w:rsidRDefault="002055E7" w:rsidP="00AE1263">
      <w:r>
        <w:separator/>
      </w:r>
    </w:p>
  </w:footnote>
  <w:footnote w:type="continuationSeparator" w:id="0">
    <w:p w:rsidR="002055E7" w:rsidRDefault="002055E7" w:rsidP="00AE12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32EAB"/>
    <w:multiLevelType w:val="multilevel"/>
    <w:tmpl w:val="2EC32EAB"/>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1247"/>
        </w:tabs>
        <w:ind w:left="1247" w:hanging="680"/>
      </w:pPr>
      <w:rPr>
        <w:rFonts w:cs="Times New Roman"/>
      </w:rPr>
    </w:lvl>
    <w:lvl w:ilvl="2">
      <w:start w:val="1"/>
      <w:numFmt w:val="decimal"/>
      <w:lvlText w:val="%1.%2.%3"/>
      <w:lvlJc w:val="left"/>
      <w:pPr>
        <w:tabs>
          <w:tab w:val="num" w:pos="2155"/>
        </w:tabs>
        <w:ind w:left="2155" w:hanging="908"/>
      </w:pPr>
      <w:rPr>
        <w:rFonts w:cs="Times New Roman"/>
      </w:rPr>
    </w:lvl>
    <w:lvl w:ilvl="3">
      <w:start w:val="1"/>
      <w:numFmt w:val="lowerLetter"/>
      <w:lvlText w:val="(%4)"/>
      <w:lvlJc w:val="left"/>
      <w:pPr>
        <w:tabs>
          <w:tab w:val="num" w:pos="2552"/>
        </w:tabs>
        <w:ind w:left="2552" w:hanging="397"/>
      </w:pPr>
      <w:rPr>
        <w:rFonts w:cs="Times New Roman"/>
      </w:rPr>
    </w:lvl>
    <w:lvl w:ilvl="4">
      <w:start w:val="1"/>
      <w:numFmt w:val="lowerRoman"/>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
    <w:nsid w:val="30E16A2C"/>
    <w:multiLevelType w:val="multilevel"/>
    <w:tmpl w:val="30E16A2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39693D0A"/>
    <w:multiLevelType w:val="multilevel"/>
    <w:tmpl w:val="39693D0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17971"/>
    <w:rsid w:val="00026EC0"/>
    <w:rsid w:val="00030927"/>
    <w:rsid w:val="0004105D"/>
    <w:rsid w:val="0004190C"/>
    <w:rsid w:val="00046588"/>
    <w:rsid w:val="00052CE2"/>
    <w:rsid w:val="00067090"/>
    <w:rsid w:val="0006774F"/>
    <w:rsid w:val="00070401"/>
    <w:rsid w:val="0007147A"/>
    <w:rsid w:val="00072E1B"/>
    <w:rsid w:val="0007655F"/>
    <w:rsid w:val="00080B73"/>
    <w:rsid w:val="000A34E5"/>
    <w:rsid w:val="000A3DA5"/>
    <w:rsid w:val="000B5E45"/>
    <w:rsid w:val="000C01D4"/>
    <w:rsid w:val="000D4F57"/>
    <w:rsid w:val="000E6772"/>
    <w:rsid w:val="000E7085"/>
    <w:rsid w:val="000E76BA"/>
    <w:rsid w:val="000F24EB"/>
    <w:rsid w:val="000F7117"/>
    <w:rsid w:val="00105174"/>
    <w:rsid w:val="00110B8F"/>
    <w:rsid w:val="00110EC8"/>
    <w:rsid w:val="00120775"/>
    <w:rsid w:val="00125D94"/>
    <w:rsid w:val="00130BDB"/>
    <w:rsid w:val="001314B9"/>
    <w:rsid w:val="00134C16"/>
    <w:rsid w:val="001354F5"/>
    <w:rsid w:val="0014029F"/>
    <w:rsid w:val="00144111"/>
    <w:rsid w:val="00156483"/>
    <w:rsid w:val="001635D6"/>
    <w:rsid w:val="001702F2"/>
    <w:rsid w:val="00171528"/>
    <w:rsid w:val="00173403"/>
    <w:rsid w:val="001774BC"/>
    <w:rsid w:val="001848C4"/>
    <w:rsid w:val="00192D26"/>
    <w:rsid w:val="00194B05"/>
    <w:rsid w:val="0019515C"/>
    <w:rsid w:val="001A6D2A"/>
    <w:rsid w:val="001B00F0"/>
    <w:rsid w:val="001B51B9"/>
    <w:rsid w:val="001C7F3F"/>
    <w:rsid w:val="001D2E53"/>
    <w:rsid w:val="001D4F07"/>
    <w:rsid w:val="001E1642"/>
    <w:rsid w:val="001E1BE7"/>
    <w:rsid w:val="001F41F3"/>
    <w:rsid w:val="001F445E"/>
    <w:rsid w:val="001F6711"/>
    <w:rsid w:val="00200156"/>
    <w:rsid w:val="00203F6A"/>
    <w:rsid w:val="002055E7"/>
    <w:rsid w:val="00213182"/>
    <w:rsid w:val="0021549B"/>
    <w:rsid w:val="002269FD"/>
    <w:rsid w:val="00262ACE"/>
    <w:rsid w:val="00263360"/>
    <w:rsid w:val="00275216"/>
    <w:rsid w:val="0027707E"/>
    <w:rsid w:val="0028030F"/>
    <w:rsid w:val="00281574"/>
    <w:rsid w:val="002857B6"/>
    <w:rsid w:val="00286311"/>
    <w:rsid w:val="00291065"/>
    <w:rsid w:val="002A0DB1"/>
    <w:rsid w:val="002A15AC"/>
    <w:rsid w:val="002A6273"/>
    <w:rsid w:val="002B2B31"/>
    <w:rsid w:val="002B6D18"/>
    <w:rsid w:val="002C719B"/>
    <w:rsid w:val="002D5BF7"/>
    <w:rsid w:val="002D7BBD"/>
    <w:rsid w:val="002E7253"/>
    <w:rsid w:val="002E79C9"/>
    <w:rsid w:val="002F0034"/>
    <w:rsid w:val="002F22DD"/>
    <w:rsid w:val="00305277"/>
    <w:rsid w:val="0031652F"/>
    <w:rsid w:val="00322BA4"/>
    <w:rsid w:val="003401CA"/>
    <w:rsid w:val="00346942"/>
    <w:rsid w:val="003520B5"/>
    <w:rsid w:val="0037187E"/>
    <w:rsid w:val="003767D7"/>
    <w:rsid w:val="003771A4"/>
    <w:rsid w:val="00381B64"/>
    <w:rsid w:val="00383858"/>
    <w:rsid w:val="00386CA6"/>
    <w:rsid w:val="003A64C5"/>
    <w:rsid w:val="003A6AD0"/>
    <w:rsid w:val="003B0260"/>
    <w:rsid w:val="003B29CD"/>
    <w:rsid w:val="003C43F4"/>
    <w:rsid w:val="003C4D22"/>
    <w:rsid w:val="003C5B62"/>
    <w:rsid w:val="003D526D"/>
    <w:rsid w:val="003D780B"/>
    <w:rsid w:val="003E0CEE"/>
    <w:rsid w:val="003E72AB"/>
    <w:rsid w:val="003F2E8D"/>
    <w:rsid w:val="003F3BE0"/>
    <w:rsid w:val="003F5064"/>
    <w:rsid w:val="003F6245"/>
    <w:rsid w:val="004031F8"/>
    <w:rsid w:val="00417DB4"/>
    <w:rsid w:val="00422DF6"/>
    <w:rsid w:val="00431C9F"/>
    <w:rsid w:val="00433054"/>
    <w:rsid w:val="00433C19"/>
    <w:rsid w:val="00436057"/>
    <w:rsid w:val="00436842"/>
    <w:rsid w:val="00440FFF"/>
    <w:rsid w:val="00441BD5"/>
    <w:rsid w:val="00441D9E"/>
    <w:rsid w:val="004443E6"/>
    <w:rsid w:val="00447BA5"/>
    <w:rsid w:val="004572CE"/>
    <w:rsid w:val="00465448"/>
    <w:rsid w:val="00465A51"/>
    <w:rsid w:val="004926BD"/>
    <w:rsid w:val="00493775"/>
    <w:rsid w:val="004B6B6B"/>
    <w:rsid w:val="004E7CD4"/>
    <w:rsid w:val="004F6FEC"/>
    <w:rsid w:val="00502868"/>
    <w:rsid w:val="00515B6A"/>
    <w:rsid w:val="005160F8"/>
    <w:rsid w:val="00521563"/>
    <w:rsid w:val="0054211D"/>
    <w:rsid w:val="005454FB"/>
    <w:rsid w:val="005601A1"/>
    <w:rsid w:val="00572F09"/>
    <w:rsid w:val="005772C1"/>
    <w:rsid w:val="005835BC"/>
    <w:rsid w:val="005856A7"/>
    <w:rsid w:val="00585897"/>
    <w:rsid w:val="00586FCA"/>
    <w:rsid w:val="00590888"/>
    <w:rsid w:val="005A2F69"/>
    <w:rsid w:val="005A42CF"/>
    <w:rsid w:val="005B6209"/>
    <w:rsid w:val="005C4580"/>
    <w:rsid w:val="005D1EEF"/>
    <w:rsid w:val="005E365A"/>
    <w:rsid w:val="005E6608"/>
    <w:rsid w:val="005F6C50"/>
    <w:rsid w:val="00600349"/>
    <w:rsid w:val="00604F50"/>
    <w:rsid w:val="00611D96"/>
    <w:rsid w:val="00612214"/>
    <w:rsid w:val="00625CD7"/>
    <w:rsid w:val="00630932"/>
    <w:rsid w:val="0064539A"/>
    <w:rsid w:val="00653FE5"/>
    <w:rsid w:val="00661BE2"/>
    <w:rsid w:val="00670788"/>
    <w:rsid w:val="0067545A"/>
    <w:rsid w:val="006921BE"/>
    <w:rsid w:val="006959E4"/>
    <w:rsid w:val="006A35FB"/>
    <w:rsid w:val="006A4983"/>
    <w:rsid w:val="006B0F80"/>
    <w:rsid w:val="006C0567"/>
    <w:rsid w:val="006D21F9"/>
    <w:rsid w:val="006D7E71"/>
    <w:rsid w:val="006E7BC1"/>
    <w:rsid w:val="006F2454"/>
    <w:rsid w:val="006F63D7"/>
    <w:rsid w:val="007120E2"/>
    <w:rsid w:val="00720D4C"/>
    <w:rsid w:val="00724689"/>
    <w:rsid w:val="007261FA"/>
    <w:rsid w:val="00736A06"/>
    <w:rsid w:val="00740A5A"/>
    <w:rsid w:val="00745638"/>
    <w:rsid w:val="007540CF"/>
    <w:rsid w:val="00755C22"/>
    <w:rsid w:val="00757E02"/>
    <w:rsid w:val="00760BFE"/>
    <w:rsid w:val="00765301"/>
    <w:rsid w:val="00774F8F"/>
    <w:rsid w:val="00777A77"/>
    <w:rsid w:val="0078425B"/>
    <w:rsid w:val="00791471"/>
    <w:rsid w:val="007961D4"/>
    <w:rsid w:val="007B340B"/>
    <w:rsid w:val="007B7829"/>
    <w:rsid w:val="007C0AC3"/>
    <w:rsid w:val="007C1863"/>
    <w:rsid w:val="007E6925"/>
    <w:rsid w:val="007E6A6A"/>
    <w:rsid w:val="007E7201"/>
    <w:rsid w:val="007F2B0B"/>
    <w:rsid w:val="007F3217"/>
    <w:rsid w:val="0080509D"/>
    <w:rsid w:val="008169B8"/>
    <w:rsid w:val="00827AC9"/>
    <w:rsid w:val="00846897"/>
    <w:rsid w:val="00860D16"/>
    <w:rsid w:val="008616A2"/>
    <w:rsid w:val="00865132"/>
    <w:rsid w:val="008769EF"/>
    <w:rsid w:val="00881381"/>
    <w:rsid w:val="00892846"/>
    <w:rsid w:val="0089703D"/>
    <w:rsid w:val="008A1398"/>
    <w:rsid w:val="008A1837"/>
    <w:rsid w:val="008B0AB6"/>
    <w:rsid w:val="008B1BCF"/>
    <w:rsid w:val="008C1A56"/>
    <w:rsid w:val="008D4373"/>
    <w:rsid w:val="008E2824"/>
    <w:rsid w:val="008E312C"/>
    <w:rsid w:val="008E78E6"/>
    <w:rsid w:val="008F366F"/>
    <w:rsid w:val="008F6A5A"/>
    <w:rsid w:val="009025C1"/>
    <w:rsid w:val="00905C38"/>
    <w:rsid w:val="00911E50"/>
    <w:rsid w:val="00913892"/>
    <w:rsid w:val="00917F4E"/>
    <w:rsid w:val="0092193B"/>
    <w:rsid w:val="009229AD"/>
    <w:rsid w:val="0094372F"/>
    <w:rsid w:val="009541F2"/>
    <w:rsid w:val="009551F2"/>
    <w:rsid w:val="00973033"/>
    <w:rsid w:val="009761A7"/>
    <w:rsid w:val="00983C6B"/>
    <w:rsid w:val="009853D5"/>
    <w:rsid w:val="009868D6"/>
    <w:rsid w:val="0098762D"/>
    <w:rsid w:val="009A755B"/>
    <w:rsid w:val="009B0CAB"/>
    <w:rsid w:val="009C416B"/>
    <w:rsid w:val="009D1805"/>
    <w:rsid w:val="009D4F78"/>
    <w:rsid w:val="009D6016"/>
    <w:rsid w:val="009E0268"/>
    <w:rsid w:val="009E1C96"/>
    <w:rsid w:val="009E705A"/>
    <w:rsid w:val="009F17AE"/>
    <w:rsid w:val="009F1B70"/>
    <w:rsid w:val="009F2D5C"/>
    <w:rsid w:val="00A05EA7"/>
    <w:rsid w:val="00A13BBD"/>
    <w:rsid w:val="00A42301"/>
    <w:rsid w:val="00A4711C"/>
    <w:rsid w:val="00A5290F"/>
    <w:rsid w:val="00A5364A"/>
    <w:rsid w:val="00A623F2"/>
    <w:rsid w:val="00A64328"/>
    <w:rsid w:val="00A6432A"/>
    <w:rsid w:val="00A66729"/>
    <w:rsid w:val="00A70AFC"/>
    <w:rsid w:val="00A7136B"/>
    <w:rsid w:val="00A85935"/>
    <w:rsid w:val="00A92210"/>
    <w:rsid w:val="00AA13DE"/>
    <w:rsid w:val="00AA2AB0"/>
    <w:rsid w:val="00AA39AC"/>
    <w:rsid w:val="00AB23D3"/>
    <w:rsid w:val="00AD0B35"/>
    <w:rsid w:val="00AD7B7A"/>
    <w:rsid w:val="00AF0F1A"/>
    <w:rsid w:val="00AF5D91"/>
    <w:rsid w:val="00B021CE"/>
    <w:rsid w:val="00B04903"/>
    <w:rsid w:val="00B13369"/>
    <w:rsid w:val="00B170EA"/>
    <w:rsid w:val="00B26AB3"/>
    <w:rsid w:val="00B40A2F"/>
    <w:rsid w:val="00B45421"/>
    <w:rsid w:val="00B45FF3"/>
    <w:rsid w:val="00B46E62"/>
    <w:rsid w:val="00B553A6"/>
    <w:rsid w:val="00B76C9E"/>
    <w:rsid w:val="00B8345D"/>
    <w:rsid w:val="00B958BA"/>
    <w:rsid w:val="00B962D2"/>
    <w:rsid w:val="00BA3361"/>
    <w:rsid w:val="00BA3A67"/>
    <w:rsid w:val="00BA61AF"/>
    <w:rsid w:val="00BB53A8"/>
    <w:rsid w:val="00BB7991"/>
    <w:rsid w:val="00BC1021"/>
    <w:rsid w:val="00BC2DC7"/>
    <w:rsid w:val="00BC7AFB"/>
    <w:rsid w:val="00BD3180"/>
    <w:rsid w:val="00BD597B"/>
    <w:rsid w:val="00BD6D36"/>
    <w:rsid w:val="00BF0672"/>
    <w:rsid w:val="00BF0809"/>
    <w:rsid w:val="00BF1930"/>
    <w:rsid w:val="00BF738D"/>
    <w:rsid w:val="00C15423"/>
    <w:rsid w:val="00C15D71"/>
    <w:rsid w:val="00C31057"/>
    <w:rsid w:val="00C331B7"/>
    <w:rsid w:val="00C360AA"/>
    <w:rsid w:val="00C3772F"/>
    <w:rsid w:val="00C41A50"/>
    <w:rsid w:val="00C71126"/>
    <w:rsid w:val="00C72A2D"/>
    <w:rsid w:val="00C75ACC"/>
    <w:rsid w:val="00C770B6"/>
    <w:rsid w:val="00C81ABF"/>
    <w:rsid w:val="00C84899"/>
    <w:rsid w:val="00C8589D"/>
    <w:rsid w:val="00C877EE"/>
    <w:rsid w:val="00C904B6"/>
    <w:rsid w:val="00C90886"/>
    <w:rsid w:val="00C95F59"/>
    <w:rsid w:val="00CB2778"/>
    <w:rsid w:val="00CC239F"/>
    <w:rsid w:val="00CC576B"/>
    <w:rsid w:val="00CC7543"/>
    <w:rsid w:val="00CD042D"/>
    <w:rsid w:val="00CD3DB4"/>
    <w:rsid w:val="00CD4D18"/>
    <w:rsid w:val="00CE0598"/>
    <w:rsid w:val="00CE2A17"/>
    <w:rsid w:val="00CE2AA2"/>
    <w:rsid w:val="00CE6B8A"/>
    <w:rsid w:val="00CF1B81"/>
    <w:rsid w:val="00D175DC"/>
    <w:rsid w:val="00D209A0"/>
    <w:rsid w:val="00D222F0"/>
    <w:rsid w:val="00D24750"/>
    <w:rsid w:val="00D3067D"/>
    <w:rsid w:val="00D41538"/>
    <w:rsid w:val="00D463C8"/>
    <w:rsid w:val="00D5013A"/>
    <w:rsid w:val="00D50C5D"/>
    <w:rsid w:val="00D56B43"/>
    <w:rsid w:val="00D6158A"/>
    <w:rsid w:val="00D72E9E"/>
    <w:rsid w:val="00D74CDB"/>
    <w:rsid w:val="00D764A0"/>
    <w:rsid w:val="00D76DA7"/>
    <w:rsid w:val="00D80139"/>
    <w:rsid w:val="00D86E52"/>
    <w:rsid w:val="00D93520"/>
    <w:rsid w:val="00D93903"/>
    <w:rsid w:val="00DA29F5"/>
    <w:rsid w:val="00DA495F"/>
    <w:rsid w:val="00DB11B2"/>
    <w:rsid w:val="00DC255C"/>
    <w:rsid w:val="00DC592F"/>
    <w:rsid w:val="00DC7CDA"/>
    <w:rsid w:val="00DE1284"/>
    <w:rsid w:val="00DF2638"/>
    <w:rsid w:val="00E1080E"/>
    <w:rsid w:val="00E17F42"/>
    <w:rsid w:val="00E21A4E"/>
    <w:rsid w:val="00E21A66"/>
    <w:rsid w:val="00E30F9B"/>
    <w:rsid w:val="00E44AFC"/>
    <w:rsid w:val="00E55AFD"/>
    <w:rsid w:val="00EA4D5C"/>
    <w:rsid w:val="00EA53D2"/>
    <w:rsid w:val="00EA7A64"/>
    <w:rsid w:val="00EB54FA"/>
    <w:rsid w:val="00EB5C9A"/>
    <w:rsid w:val="00EC5379"/>
    <w:rsid w:val="00ED072E"/>
    <w:rsid w:val="00ED2E2E"/>
    <w:rsid w:val="00ED5CF6"/>
    <w:rsid w:val="00EE1177"/>
    <w:rsid w:val="00EE6AD6"/>
    <w:rsid w:val="00EF081C"/>
    <w:rsid w:val="00EF2E4B"/>
    <w:rsid w:val="00EF32C9"/>
    <w:rsid w:val="00F03144"/>
    <w:rsid w:val="00F061D6"/>
    <w:rsid w:val="00F07F79"/>
    <w:rsid w:val="00F20EAD"/>
    <w:rsid w:val="00F220CD"/>
    <w:rsid w:val="00F26B86"/>
    <w:rsid w:val="00F30D88"/>
    <w:rsid w:val="00F31805"/>
    <w:rsid w:val="00F3487E"/>
    <w:rsid w:val="00F36003"/>
    <w:rsid w:val="00F400F2"/>
    <w:rsid w:val="00F475A6"/>
    <w:rsid w:val="00F5419D"/>
    <w:rsid w:val="00F55893"/>
    <w:rsid w:val="00F63F57"/>
    <w:rsid w:val="00F646C9"/>
    <w:rsid w:val="00F72F0D"/>
    <w:rsid w:val="00F739F4"/>
    <w:rsid w:val="00F8037A"/>
    <w:rsid w:val="00F80E79"/>
    <w:rsid w:val="00F845F2"/>
    <w:rsid w:val="00F86709"/>
    <w:rsid w:val="00F91926"/>
    <w:rsid w:val="00F95D9E"/>
    <w:rsid w:val="00FA26A6"/>
    <w:rsid w:val="00FA4D8E"/>
    <w:rsid w:val="00FA5D48"/>
    <w:rsid w:val="00FB0D00"/>
    <w:rsid w:val="00FD32ED"/>
    <w:rsid w:val="00FD5CA1"/>
    <w:rsid w:val="00FE25AE"/>
    <w:rsid w:val="00FE5DBA"/>
    <w:rsid w:val="00FE64CB"/>
    <w:rsid w:val="00FF0C8B"/>
    <w:rsid w:val="00FF311C"/>
    <w:rsid w:val="36EB44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semiHidden="0" w:uiPriority="1"/>
    <w:lsdException w:name="Body Text Indent" w:unhideWhenUsed="0"/>
    <w:lsdException w:name="Subtitle" w:locked="1" w:semiHidden="0" w:uiPriority="0" w:unhideWhenUsed="0" w:qFormat="1"/>
    <w:lsdException w:name="Body Text Indent 2" w:semiHidden="0" w:unhideWhenUsed="0"/>
    <w:lsdException w:name="Strong" w:locked="1" w:semiHidden="0" w:uiPriority="0" w:unhideWhenUsed="0" w:qFormat="1"/>
    <w:lsdException w:name="Emphasis" w:locked="1" w:semiHidden="0" w:uiPriority="0" w:unhideWhenUsed="0" w:qFormat="1"/>
    <w:lsdException w:name="Normal (Web)" w:semiHidden="0"/>
    <w:lsdException w:name="Balloon Text" w:unhideWhenUsed="0"/>
    <w:lsdException w:name="Table Grid" w:semiHidden="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unhideWhenUsed/>
    <w:tblPr>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BodyTextIndent">
    <w:name w:val="Body Text Indent"/>
    <w:basedOn w:val="Normal"/>
    <w:link w:val="BodyTextIndentChar"/>
    <w:uiPriority w:val="99"/>
    <w:semiHidden/>
    <w:pPr>
      <w:spacing w:after="120"/>
      <w:ind w:left="360"/>
    </w:pPr>
  </w:style>
  <w:style w:type="character" w:customStyle="1" w:styleId="BodyTextIndentChar">
    <w:name w:val="Body Text Indent Char"/>
    <w:link w:val="BodyTextIndent"/>
    <w:uiPriority w:val="99"/>
    <w:semiHidden/>
    <w:locked/>
    <w:rPr>
      <w:rFonts w:ascii="Times New Roman" w:hAnsi="Times New Roman" w:cs="Times New Roman"/>
      <w:sz w:val="24"/>
      <w:szCs w:val="24"/>
    </w:rPr>
  </w:style>
  <w:style w:type="paragraph" w:styleId="BodyTextIndent2">
    <w:name w:val="Body Text Indent 2"/>
    <w:basedOn w:val="Normal"/>
    <w:link w:val="BodyTextIndent2Char"/>
    <w:uiPriority w:val="9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Pr>
      <w:rFonts w:ascii="CG Times" w:hAnsi="CG Times" w:cs="Times New Roman"/>
      <w:sz w:val="20"/>
      <w:szCs w:val="20"/>
      <w:lang w:val="en-GB"/>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locked/>
    <w:rPr>
      <w:rFonts w:ascii="Times New Roman"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locked/>
    <w:rPr>
      <w:rFonts w:ascii="Times New Roman" w:hAnsi="Times New Roman" w:cs="Times New Roman"/>
      <w:sz w:val="24"/>
      <w:szCs w:val="24"/>
    </w:rPr>
  </w:style>
  <w:style w:type="paragraph" w:styleId="NormalWeb">
    <w:name w:val="Normal (Web)"/>
    <w:basedOn w:val="Normal"/>
    <w:uiPriority w:val="99"/>
    <w:unhideWhenUsed/>
    <w:pPr>
      <w:spacing w:before="100" w:beforeAutospacing="1" w:after="100" w:afterAutospacing="1"/>
    </w:pPr>
    <w:rPr>
      <w:lang w:val="en-ZA" w:eastAsia="en-ZA"/>
    </w:rPr>
  </w:style>
  <w:style w:type="table" w:styleId="TableGrid">
    <w:name w:val="Table Grid"/>
    <w:basedOn w:val="TableNormal"/>
    <w:uiPriority w:val="99"/>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customStyle="1" w:styleId="4">
    <w:name w:val="4"/>
    <w:basedOn w:val="Normal"/>
    <w:uiPriority w:val="99"/>
    <w:pPr>
      <w:numPr>
        <w:ilvl w:val="3"/>
        <w:numId w:val="1"/>
      </w:numPr>
      <w:tabs>
        <w:tab w:val="left" w:pos="2552"/>
      </w:tabs>
      <w:spacing w:before="240" w:line="480" w:lineRule="auto"/>
      <w:jc w:val="both"/>
    </w:pPr>
    <w:rPr>
      <w:rFonts w:ascii="Arial" w:hAnsi="Arial" w:cs="Arial"/>
      <w:color w:val="000000"/>
      <w:lang w:val="en-GB" w:eastAsia="en-GB"/>
    </w:rPr>
  </w:style>
  <w:style w:type="paragraph" w:customStyle="1" w:styleId="1">
    <w:name w:val="1"/>
    <w:basedOn w:val="Normal"/>
    <w:uiPriority w:val="99"/>
    <w:pPr>
      <w:numPr>
        <w:numId w:val="1"/>
      </w:numPr>
      <w:tabs>
        <w:tab w:val="left" w:pos="567"/>
      </w:tabs>
      <w:spacing w:before="480" w:line="480" w:lineRule="auto"/>
      <w:jc w:val="both"/>
    </w:pPr>
    <w:rPr>
      <w:rFonts w:ascii="Arial" w:hAnsi="Arial" w:cs="Arial"/>
      <w:color w:val="000000"/>
      <w:lang w:val="en-GB" w:eastAsia="en-GB"/>
    </w:rPr>
  </w:style>
  <w:style w:type="paragraph" w:customStyle="1" w:styleId="2">
    <w:name w:val="2"/>
    <w:basedOn w:val="Normal"/>
    <w:uiPriority w:val="99"/>
    <w:pPr>
      <w:numPr>
        <w:ilvl w:val="1"/>
        <w:numId w:val="1"/>
      </w:numPr>
      <w:tabs>
        <w:tab w:val="left" w:pos="1247"/>
      </w:tabs>
      <w:spacing w:before="240" w:line="480" w:lineRule="auto"/>
      <w:jc w:val="both"/>
    </w:pPr>
    <w:rPr>
      <w:rFonts w:ascii="Arial" w:hAnsi="Arial" w:cs="Arial"/>
      <w:color w:val="000000"/>
      <w:lang w:val="en-GB" w:eastAsia="en-GB"/>
    </w:rPr>
  </w:style>
  <w:style w:type="paragraph" w:customStyle="1" w:styleId="3">
    <w:name w:val="3"/>
    <w:basedOn w:val="Normal"/>
    <w:uiPriority w:val="99"/>
    <w:pPr>
      <w:numPr>
        <w:ilvl w:val="2"/>
        <w:numId w:val="1"/>
      </w:numPr>
      <w:tabs>
        <w:tab w:val="left" w:pos="2155"/>
      </w:tabs>
      <w:spacing w:before="240" w:line="480" w:lineRule="auto"/>
      <w:jc w:val="both"/>
    </w:pPr>
    <w:rPr>
      <w:rFonts w:ascii="Arial" w:hAnsi="Arial" w:cs="Arial"/>
      <w:color w:val="000000"/>
      <w:lang w:val="en-GB" w:eastAsia="en-GB"/>
    </w:rPr>
  </w:style>
  <w:style w:type="paragraph" w:customStyle="1" w:styleId="5">
    <w:name w:val="5"/>
    <w:basedOn w:val="Normal"/>
    <w:uiPriority w:val="99"/>
    <w:pPr>
      <w:numPr>
        <w:ilvl w:val="4"/>
        <w:numId w:val="1"/>
      </w:numPr>
      <w:tabs>
        <w:tab w:val="left" w:pos="3119"/>
      </w:tabs>
      <w:spacing w:before="240" w:line="480" w:lineRule="auto"/>
      <w:jc w:val="both"/>
    </w:pPr>
    <w:rPr>
      <w:rFonts w:ascii="Arial" w:hAnsi="Arial" w:cs="Arial"/>
      <w:color w:val="000000"/>
      <w:lang w:val="en-GB" w:eastAsia="en-GB"/>
    </w:rPr>
  </w:style>
  <w:style w:type="paragraph" w:styleId="NoSpacing">
    <w:name w:val="No Spacing"/>
    <w:uiPriority w:val="99"/>
    <w:qFormat/>
    <w:rPr>
      <w:rFonts w:ascii="Times New Roman" w:eastAsia="Times New Roman" w:hAnsi="Times New Roman"/>
      <w:sz w:val="24"/>
      <w:szCs w:val="24"/>
      <w:lang w:val="en-US" w:eastAsia="en-US"/>
    </w:rPr>
  </w:style>
  <w:style w:type="paragraph" w:customStyle="1" w:styleId="Default">
    <w:name w:val="Default"/>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454</Words>
  <Characters>2590</Characters>
  <Application>Microsoft Office Word</Application>
  <DocSecurity>0</DocSecurity>
  <Lines>21</Lines>
  <Paragraphs>6</Paragraphs>
  <ScaleCrop>false</ScaleCrop>
  <Company>Microsoft</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2022-05-18T08:36:00Z</cp:lastPrinted>
  <dcterms:created xsi:type="dcterms:W3CDTF">2022-08-15T14:23:00Z</dcterms:created>
  <dcterms:modified xsi:type="dcterms:W3CDTF">2022-08-15T14:23:00Z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16B42A67A9134441A7CB4EB4B5EF1C65</vt:lpwstr>
  </property>
</Properties>
</file>