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QUESTION FOR WRITTEN REPLY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 xml:space="preserve">QUESTION NUMBER: </w:t>
      </w:r>
      <w:r w:rsidR="000D264B">
        <w:rPr>
          <w:rFonts w:ascii="Arial" w:eastAsia="Times New Roman" w:hAnsi="Arial" w:cs="Arial"/>
          <w:b/>
          <w:sz w:val="24"/>
          <w:szCs w:val="24"/>
        </w:rPr>
        <w:t>18</w:t>
      </w:r>
      <w:r w:rsidR="00320945">
        <w:rPr>
          <w:rFonts w:ascii="Arial" w:eastAsia="Times New Roman" w:hAnsi="Arial" w:cs="Arial"/>
          <w:b/>
          <w:sz w:val="24"/>
          <w:szCs w:val="24"/>
        </w:rPr>
        <w:t xml:space="preserve">67 </w:t>
      </w:r>
      <w:r w:rsidR="000D264B">
        <w:rPr>
          <w:rFonts w:ascii="Arial" w:eastAsia="Times New Roman" w:hAnsi="Arial" w:cs="Arial"/>
          <w:b/>
          <w:sz w:val="24"/>
          <w:szCs w:val="24"/>
        </w:rPr>
        <w:t>[NW2</w:t>
      </w:r>
      <w:r w:rsidR="00320945">
        <w:rPr>
          <w:rFonts w:ascii="Arial" w:eastAsia="Times New Roman" w:hAnsi="Arial" w:cs="Arial"/>
          <w:b/>
          <w:sz w:val="24"/>
          <w:szCs w:val="24"/>
        </w:rPr>
        <w:t>077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E]</w:t>
      </w:r>
    </w:p>
    <w:p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0D264B">
        <w:rPr>
          <w:rFonts w:ascii="Arial" w:eastAsia="Times New Roman" w:hAnsi="Arial" w:cs="Arial"/>
          <w:b/>
          <w:sz w:val="24"/>
          <w:szCs w:val="24"/>
        </w:rPr>
        <w:t>1</w:t>
      </w:r>
      <w:r w:rsidR="00917BC4" w:rsidRPr="00917BC4">
        <w:rPr>
          <w:rFonts w:ascii="Arial" w:eastAsia="Times New Roman" w:hAnsi="Arial" w:cs="Arial"/>
          <w:b/>
          <w:sz w:val="24"/>
          <w:szCs w:val="24"/>
        </w:rPr>
        <w:t>9</w:t>
      </w:r>
      <w:r w:rsidR="002416B5" w:rsidRPr="00917BC4">
        <w:rPr>
          <w:rFonts w:ascii="Arial" w:eastAsia="Times New Roman" w:hAnsi="Arial" w:cs="Arial"/>
          <w:b/>
          <w:sz w:val="24"/>
          <w:szCs w:val="24"/>
        </w:rPr>
        <w:t xml:space="preserve"> JUNE 2017</w:t>
      </w:r>
    </w:p>
    <w:p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320945" w:rsidRPr="00320945" w:rsidRDefault="00320945" w:rsidP="00320945">
      <w:pPr>
        <w:spacing w:before="100" w:beforeAutospacing="1" w:after="100" w:afterAutospacing="1" w:line="360" w:lineRule="auto"/>
        <w:ind w:left="816" w:hanging="816"/>
        <w:rPr>
          <w:rFonts w:ascii="Arial" w:eastAsia="Calibri" w:hAnsi="Arial" w:cs="Arial"/>
          <w:b/>
          <w:sz w:val="24"/>
          <w:szCs w:val="24"/>
          <w:lang w:val="en-ZA"/>
        </w:rPr>
      </w:pPr>
      <w:r w:rsidRPr="00320945">
        <w:rPr>
          <w:rFonts w:ascii="Arial" w:eastAsia="Calibri" w:hAnsi="Arial" w:cs="Arial"/>
          <w:b/>
          <w:sz w:val="24"/>
          <w:szCs w:val="24"/>
          <w:lang w:val="en-ZA"/>
        </w:rPr>
        <w:t>1867.</w:t>
      </w:r>
      <w:r w:rsidRPr="00320945">
        <w:rPr>
          <w:rFonts w:ascii="Arial" w:eastAsia="Calibri" w:hAnsi="Arial" w:cs="Arial"/>
          <w:b/>
          <w:sz w:val="24"/>
          <w:szCs w:val="24"/>
          <w:lang w:val="en-ZA"/>
        </w:rPr>
        <w:tab/>
        <w:t>Mr A Lees (DA) to ask the Minister of Finance:</w:t>
      </w:r>
    </w:p>
    <w:p w:rsidR="00320945" w:rsidRPr="00320945" w:rsidRDefault="00320945" w:rsidP="00320945">
      <w:pPr>
        <w:spacing w:before="100" w:beforeAutospacing="1" w:after="100" w:afterAutospacing="1" w:line="360" w:lineRule="auto"/>
        <w:ind w:left="811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320945">
        <w:rPr>
          <w:rFonts w:ascii="Arial" w:eastAsia="Calibri" w:hAnsi="Arial" w:cs="Arial"/>
          <w:sz w:val="24"/>
          <w:szCs w:val="24"/>
          <w:lang w:val="en-ZA"/>
        </w:rPr>
        <w:t xml:space="preserve">(a) On which (i) statutory and (ii) National Treasury Guidelines does the Umgungundlovu District Municipality </w:t>
      </w:r>
      <w:r w:rsidRPr="00320945">
        <w:rPr>
          <w:rFonts w:ascii="Arial" w:eastAsia="Calibri" w:hAnsi="Arial" w:cs="Arial"/>
          <w:sz w:val="24"/>
          <w:szCs w:val="24"/>
          <w:lang w:val="af-ZA"/>
        </w:rPr>
        <w:t>rely</w:t>
      </w:r>
      <w:r w:rsidRPr="00320945">
        <w:rPr>
          <w:rFonts w:ascii="Arial" w:eastAsia="Calibri" w:hAnsi="Arial" w:cs="Arial"/>
          <w:sz w:val="24"/>
          <w:szCs w:val="24"/>
          <w:lang w:val="en-ZA"/>
        </w:rPr>
        <w:t xml:space="preserve"> for its 37% increase in water tariffs for the 2017-18 proposed budget and (b) what are the legal provisions that he relies on for confirming the water tariff increase?</w:t>
      </w:r>
      <w:r w:rsidRPr="00320945">
        <w:rPr>
          <w:rFonts w:ascii="Arial" w:eastAsia="Calibri" w:hAnsi="Arial" w:cs="Arial"/>
          <w:sz w:val="24"/>
          <w:szCs w:val="24"/>
          <w:lang w:val="en-ZA"/>
        </w:rPr>
        <w:tab/>
      </w:r>
      <w:r w:rsidRPr="00320945">
        <w:rPr>
          <w:rFonts w:ascii="Arial" w:eastAsia="Calibri" w:hAnsi="Arial" w:cs="Arial"/>
          <w:sz w:val="24"/>
          <w:szCs w:val="24"/>
          <w:lang w:val="en-ZA"/>
        </w:rPr>
        <w:tab/>
      </w:r>
      <w:r w:rsidRPr="00320945">
        <w:rPr>
          <w:rFonts w:ascii="Arial" w:eastAsia="Calibri" w:hAnsi="Arial" w:cs="Arial"/>
          <w:sz w:val="24"/>
          <w:szCs w:val="24"/>
          <w:lang w:val="en-ZA"/>
        </w:rPr>
        <w:tab/>
      </w:r>
      <w:r w:rsidRPr="00320945">
        <w:rPr>
          <w:rFonts w:ascii="Arial" w:eastAsia="Calibri" w:hAnsi="Arial" w:cs="Arial"/>
          <w:sz w:val="24"/>
          <w:szCs w:val="24"/>
          <w:lang w:val="en-ZA"/>
        </w:rPr>
        <w:tab/>
      </w:r>
      <w:r w:rsidRPr="00320945"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Pr="00320945">
        <w:rPr>
          <w:rFonts w:ascii="Arial" w:eastAsia="Calibri" w:hAnsi="Arial" w:cs="Arial"/>
          <w:sz w:val="24"/>
          <w:szCs w:val="24"/>
          <w:lang w:val="en-ZA"/>
        </w:rPr>
        <w:tab/>
        <w:t>NW2077E</w:t>
      </w:r>
    </w:p>
    <w:p w:rsidR="0094447D" w:rsidRDefault="004355E5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7316">
        <w:rPr>
          <w:rFonts w:ascii="Arial" w:eastAsia="Times New Roman" w:hAnsi="Arial" w:cs="Arial"/>
          <w:b/>
          <w:sz w:val="24"/>
          <w:szCs w:val="24"/>
        </w:rPr>
        <w:t>REPLY:</w:t>
      </w:r>
      <w:r w:rsidR="008F063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4447D" w:rsidRDefault="0094447D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55E5" w:rsidRDefault="008F063C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Legal Background/Basis</w:t>
      </w:r>
    </w:p>
    <w:p w:rsidR="00C974B7" w:rsidRDefault="00C974B7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134C" w:rsidRPr="0094447D" w:rsidRDefault="0094447D" w:rsidP="0094447D">
      <w:pPr>
        <w:ind w:left="720" w:hanging="72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(a) </w:t>
      </w:r>
      <w:r w:rsidRPr="0094447D">
        <w:rPr>
          <w:rFonts w:ascii="Arial" w:eastAsia="Calibri" w:hAnsi="Arial" w:cs="Arial"/>
          <w:sz w:val="24"/>
          <w:szCs w:val="24"/>
          <w:lang w:val="en-ZA"/>
        </w:rPr>
        <w:t>(i)</w:t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="00B8134C" w:rsidRPr="0094447D">
        <w:rPr>
          <w:rFonts w:ascii="Arial" w:eastAsia="Calibri" w:hAnsi="Arial" w:cs="Arial"/>
          <w:sz w:val="24"/>
          <w:szCs w:val="24"/>
          <w:lang w:val="en-ZA"/>
        </w:rPr>
        <w:t>The Local Government: Municipal Systems Act (Systems Act), 2000 gives power to municipalities in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terms of</w:t>
      </w:r>
      <w:r w:rsidR="00B8134C" w:rsidRPr="0094447D">
        <w:rPr>
          <w:rFonts w:ascii="Arial" w:eastAsia="Calibri" w:hAnsi="Arial" w:cs="Arial"/>
          <w:sz w:val="24"/>
          <w:szCs w:val="24"/>
          <w:lang w:val="en-ZA"/>
        </w:rPr>
        <w:t xml:space="preserve"> section 75A to “levy and recover fees, charges or tariffs in respect of any function or service of the municipality”.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 </w:t>
      </w:r>
      <w:r w:rsidR="00B8134C" w:rsidRPr="0094447D">
        <w:rPr>
          <w:rFonts w:ascii="Arial" w:eastAsia="Calibri" w:hAnsi="Arial" w:cs="Arial"/>
          <w:sz w:val="24"/>
          <w:szCs w:val="24"/>
          <w:lang w:val="en-ZA"/>
        </w:rPr>
        <w:t xml:space="preserve">To give effect to this power, municipalities are required to adopt and implement a tariff policy on the levying of fees for municipal services in terms of section 74 of the Systems Act. </w:t>
      </w:r>
    </w:p>
    <w:p w:rsidR="00B8134C" w:rsidRDefault="00B8134C" w:rsidP="00B8134C">
      <w:pPr>
        <w:pStyle w:val="ListParagraph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B8134C">
        <w:rPr>
          <w:rFonts w:ascii="Arial" w:eastAsia="Calibri" w:hAnsi="Arial" w:cs="Arial"/>
          <w:sz w:val="24"/>
          <w:szCs w:val="24"/>
          <w:lang w:val="en-ZA"/>
        </w:rPr>
        <w:t>A municipal tariff is defined as: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Pr="00B8134C">
        <w:rPr>
          <w:rFonts w:ascii="Arial" w:eastAsia="Calibri" w:hAnsi="Arial" w:cs="Arial"/>
          <w:sz w:val="24"/>
          <w:szCs w:val="24"/>
          <w:lang w:val="en-ZA"/>
        </w:rPr>
        <w:t>“fees necessary to cover the actual cost associated with rendering a municipal service, and includes-</w:t>
      </w:r>
    </w:p>
    <w:p w:rsidR="0094447D" w:rsidRPr="00B8134C" w:rsidRDefault="0094447D" w:rsidP="00B8134C">
      <w:pPr>
        <w:pStyle w:val="ListParagraph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B8134C" w:rsidRPr="00B8134C" w:rsidRDefault="00B8134C" w:rsidP="0094447D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B8134C">
        <w:rPr>
          <w:rFonts w:ascii="Arial" w:eastAsia="Calibri" w:hAnsi="Arial" w:cs="Arial"/>
          <w:sz w:val="24"/>
          <w:szCs w:val="24"/>
          <w:lang w:val="en-ZA"/>
        </w:rPr>
        <w:t>bulk purchasing costs in respect of water and electricity reticulation services, and other municipal services;</w:t>
      </w:r>
    </w:p>
    <w:p w:rsidR="00B8134C" w:rsidRDefault="00B8134C" w:rsidP="0094447D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B8134C">
        <w:rPr>
          <w:rFonts w:ascii="Arial" w:eastAsia="Calibri" w:hAnsi="Arial" w:cs="Arial"/>
          <w:sz w:val="24"/>
          <w:szCs w:val="24"/>
          <w:lang w:val="en-ZA"/>
        </w:rPr>
        <w:lastRenderedPageBreak/>
        <w:t>overhead operation and maintenance costs;</w:t>
      </w:r>
    </w:p>
    <w:p w:rsidR="0094447D" w:rsidRPr="00B8134C" w:rsidRDefault="0094447D" w:rsidP="0094447D">
      <w:pPr>
        <w:pStyle w:val="ListParagraph"/>
        <w:ind w:left="1080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B8134C" w:rsidRDefault="00B8134C" w:rsidP="0094447D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B8134C">
        <w:rPr>
          <w:rFonts w:ascii="Arial" w:eastAsia="Calibri" w:hAnsi="Arial" w:cs="Arial"/>
          <w:sz w:val="24"/>
          <w:szCs w:val="24"/>
          <w:lang w:val="en-ZA"/>
        </w:rPr>
        <w:t>capital costs;</w:t>
      </w:r>
    </w:p>
    <w:p w:rsidR="0094447D" w:rsidRPr="0094447D" w:rsidRDefault="0094447D" w:rsidP="0094447D">
      <w:pPr>
        <w:pStyle w:val="ListParagraph"/>
        <w:rPr>
          <w:rFonts w:ascii="Arial" w:eastAsia="Calibri" w:hAnsi="Arial" w:cs="Arial"/>
          <w:sz w:val="24"/>
          <w:szCs w:val="24"/>
          <w:lang w:val="en-ZA"/>
        </w:rPr>
      </w:pPr>
    </w:p>
    <w:p w:rsidR="00B8134C" w:rsidRDefault="00B8134C" w:rsidP="0094447D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B8134C">
        <w:rPr>
          <w:rFonts w:ascii="Arial" w:eastAsia="Calibri" w:hAnsi="Arial" w:cs="Arial"/>
          <w:sz w:val="24"/>
          <w:szCs w:val="24"/>
          <w:lang w:val="en-ZA"/>
        </w:rPr>
        <w:t>a reasonable rate of return, if authorized by a regulator of or the Minister responsible for that municipal service;”.</w:t>
      </w:r>
    </w:p>
    <w:p w:rsidR="00B8134C" w:rsidRPr="00B8134C" w:rsidRDefault="00B8134C" w:rsidP="0094447D">
      <w:pPr>
        <w:ind w:left="72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The determination </w:t>
      </w:r>
      <w:r w:rsidR="006D4AE5">
        <w:rPr>
          <w:rFonts w:ascii="Arial" w:eastAsia="Calibri" w:hAnsi="Arial" w:cs="Arial"/>
          <w:sz w:val="24"/>
          <w:szCs w:val="24"/>
          <w:lang w:val="en-ZA"/>
        </w:rPr>
        <w:t xml:space="preserve">and approval of </w:t>
      </w:r>
      <w:r w:rsidR="006D4AE5" w:rsidRPr="00B8134C">
        <w:rPr>
          <w:rFonts w:ascii="Arial" w:eastAsia="Calibri" w:hAnsi="Arial" w:cs="Arial"/>
          <w:sz w:val="24"/>
          <w:szCs w:val="24"/>
          <w:lang w:val="en-ZA"/>
        </w:rPr>
        <w:t>municipal</w:t>
      </w:r>
      <w:r w:rsidRPr="00B8134C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6D4AE5" w:rsidRPr="00B8134C">
        <w:rPr>
          <w:rFonts w:ascii="Arial" w:eastAsia="Calibri" w:hAnsi="Arial" w:cs="Arial"/>
          <w:sz w:val="24"/>
          <w:szCs w:val="24"/>
          <w:lang w:val="en-ZA"/>
        </w:rPr>
        <w:t>tariff</w:t>
      </w:r>
      <w:r w:rsidR="006D4AE5">
        <w:rPr>
          <w:rFonts w:ascii="Arial" w:eastAsia="Calibri" w:hAnsi="Arial" w:cs="Arial"/>
          <w:sz w:val="24"/>
          <w:szCs w:val="24"/>
          <w:lang w:val="en-ZA"/>
        </w:rPr>
        <w:t xml:space="preserve">s </w:t>
      </w:r>
      <w:r w:rsidR="0094447D">
        <w:rPr>
          <w:rFonts w:ascii="Arial" w:eastAsia="Calibri" w:hAnsi="Arial" w:cs="Arial"/>
          <w:sz w:val="24"/>
          <w:szCs w:val="24"/>
          <w:lang w:val="en-ZA"/>
        </w:rPr>
        <w:t>is</w:t>
      </w:r>
      <w:r w:rsidRPr="00B8134C">
        <w:rPr>
          <w:rFonts w:ascii="Arial" w:eastAsia="Calibri" w:hAnsi="Arial" w:cs="Arial"/>
          <w:sz w:val="24"/>
          <w:szCs w:val="24"/>
          <w:lang w:val="en-ZA"/>
        </w:rPr>
        <w:t xml:space="preserve"> done by the municipality in terms of section 75A of the Systems Act but subject to the norms and standards prescribed by </w:t>
      </w:r>
      <w:r w:rsidR="006D4AE5">
        <w:rPr>
          <w:rFonts w:ascii="Arial" w:eastAsia="Calibri" w:hAnsi="Arial" w:cs="Arial"/>
          <w:sz w:val="24"/>
          <w:szCs w:val="24"/>
          <w:lang w:val="en-ZA"/>
        </w:rPr>
        <w:t>relevant national legislation.</w:t>
      </w:r>
      <w:r w:rsidRPr="00B8134C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FC4785" w:rsidRPr="0094447D" w:rsidRDefault="0094447D" w:rsidP="0094447D">
      <w:pPr>
        <w:ind w:left="709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The </w:t>
      </w:r>
      <w:r w:rsidR="008B6B45" w:rsidRPr="0094447D">
        <w:rPr>
          <w:rFonts w:ascii="Arial" w:eastAsia="Calibri" w:hAnsi="Arial" w:cs="Arial"/>
          <w:sz w:val="24"/>
          <w:szCs w:val="24"/>
          <w:lang w:val="en-ZA"/>
        </w:rPr>
        <w:t xml:space="preserve">National Treasury </w:t>
      </w:r>
      <w:r w:rsidR="00B8134C" w:rsidRPr="0094447D">
        <w:rPr>
          <w:rFonts w:ascii="Arial" w:eastAsia="Calibri" w:hAnsi="Arial" w:cs="Arial"/>
          <w:sz w:val="24"/>
          <w:szCs w:val="24"/>
          <w:lang w:val="en-ZA"/>
        </w:rPr>
        <w:t>on</w:t>
      </w:r>
      <w:r w:rsidR="006D4AE5" w:rsidRPr="0094447D">
        <w:rPr>
          <w:rFonts w:ascii="Arial" w:eastAsia="Calibri" w:hAnsi="Arial" w:cs="Arial"/>
          <w:sz w:val="24"/>
          <w:szCs w:val="24"/>
          <w:lang w:val="en-ZA"/>
        </w:rPr>
        <w:t xml:space="preserve">ly </w:t>
      </w:r>
      <w:r w:rsidR="008B6B45" w:rsidRPr="0094447D">
        <w:rPr>
          <w:rFonts w:ascii="Arial" w:eastAsia="Calibri" w:hAnsi="Arial" w:cs="Arial"/>
          <w:sz w:val="24"/>
          <w:szCs w:val="24"/>
          <w:lang w:val="en-ZA"/>
        </w:rPr>
        <w:t>provides inputs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8B6B45" w:rsidRPr="0094447D">
        <w:rPr>
          <w:rFonts w:ascii="Arial" w:eastAsia="Calibri" w:hAnsi="Arial" w:cs="Arial"/>
          <w:sz w:val="24"/>
          <w:szCs w:val="24"/>
          <w:lang w:val="en-ZA"/>
        </w:rPr>
        <w:t>/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8B6B45" w:rsidRPr="0094447D">
        <w:rPr>
          <w:rFonts w:ascii="Arial" w:eastAsia="Calibri" w:hAnsi="Arial" w:cs="Arial"/>
          <w:sz w:val="24"/>
          <w:szCs w:val="24"/>
          <w:lang w:val="en-ZA"/>
        </w:rPr>
        <w:t xml:space="preserve">comments on the proposed </w:t>
      </w:r>
      <w:r w:rsidR="004E1333" w:rsidRPr="0094447D">
        <w:rPr>
          <w:rFonts w:ascii="Arial" w:eastAsia="Calibri" w:hAnsi="Arial" w:cs="Arial"/>
          <w:sz w:val="24"/>
          <w:szCs w:val="24"/>
          <w:lang w:val="en-ZA"/>
        </w:rPr>
        <w:t xml:space="preserve">bulk </w:t>
      </w:r>
      <w:r w:rsidR="008B6B45" w:rsidRPr="0094447D">
        <w:rPr>
          <w:rFonts w:ascii="Arial" w:eastAsia="Calibri" w:hAnsi="Arial" w:cs="Arial"/>
          <w:sz w:val="24"/>
          <w:szCs w:val="24"/>
          <w:lang w:val="en-ZA"/>
        </w:rPr>
        <w:t xml:space="preserve">pricing structure </w:t>
      </w:r>
      <w:r w:rsidR="004E1333" w:rsidRPr="0094447D">
        <w:rPr>
          <w:rFonts w:ascii="Arial" w:eastAsia="Calibri" w:hAnsi="Arial" w:cs="Arial"/>
          <w:sz w:val="24"/>
          <w:szCs w:val="24"/>
          <w:lang w:val="en-ZA"/>
        </w:rPr>
        <w:t>to the organ of state</w:t>
      </w:r>
      <w:r w:rsidR="006D4AE5" w:rsidRPr="0094447D">
        <w:rPr>
          <w:rFonts w:ascii="Arial" w:eastAsia="Calibri" w:hAnsi="Arial" w:cs="Arial"/>
          <w:sz w:val="24"/>
          <w:szCs w:val="24"/>
          <w:lang w:val="en-ZA"/>
        </w:rPr>
        <w:t xml:space="preserve"> (in this case Water Boards)</w:t>
      </w:r>
      <w:r w:rsidR="004E1333" w:rsidRPr="0094447D">
        <w:rPr>
          <w:rFonts w:ascii="Arial" w:eastAsia="Calibri" w:hAnsi="Arial" w:cs="Arial"/>
          <w:sz w:val="24"/>
          <w:szCs w:val="24"/>
          <w:lang w:val="en-ZA"/>
        </w:rPr>
        <w:t xml:space="preserve"> that is responsible for the provision of such resource</w:t>
      </w:r>
      <w:r w:rsidR="006D4AE5" w:rsidRPr="0094447D">
        <w:rPr>
          <w:rFonts w:ascii="Arial" w:eastAsia="Calibri" w:hAnsi="Arial" w:cs="Arial"/>
          <w:sz w:val="24"/>
          <w:szCs w:val="24"/>
          <w:lang w:val="en-ZA"/>
        </w:rPr>
        <w:t xml:space="preserve"> (in this case water)</w:t>
      </w:r>
      <w:r w:rsidR="004E1333" w:rsidRPr="0094447D">
        <w:rPr>
          <w:rFonts w:ascii="Arial" w:eastAsia="Calibri" w:hAnsi="Arial" w:cs="Arial"/>
          <w:sz w:val="24"/>
          <w:szCs w:val="24"/>
          <w:lang w:val="en-ZA"/>
        </w:rPr>
        <w:t xml:space="preserve"> to </w:t>
      </w:r>
      <w:r w:rsidR="006D4AE5" w:rsidRPr="0094447D">
        <w:rPr>
          <w:rFonts w:ascii="Arial" w:eastAsia="Calibri" w:hAnsi="Arial" w:cs="Arial"/>
          <w:sz w:val="24"/>
          <w:szCs w:val="24"/>
          <w:lang w:val="en-ZA"/>
        </w:rPr>
        <w:t>the municipality in terms of section 42 of the Municipal Finance Management Act.</w:t>
      </w:r>
      <w:r w:rsidR="004E1333" w:rsidRPr="0094447D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FC4785" w:rsidRPr="0094447D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6D4AE5" w:rsidRPr="0094447D" w:rsidRDefault="0094447D" w:rsidP="0094447D">
      <w:pPr>
        <w:tabs>
          <w:tab w:val="left" w:pos="709"/>
          <w:tab w:val="left" w:pos="864"/>
        </w:tabs>
        <w:spacing w:after="0"/>
        <w:ind w:left="705" w:hanging="705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(ii)</w:t>
      </w:r>
      <w:r>
        <w:rPr>
          <w:rFonts w:ascii="Arial" w:eastAsia="Calibri" w:hAnsi="Arial" w:cs="Arial"/>
          <w:sz w:val="24"/>
          <w:szCs w:val="24"/>
          <w:lang w:val="en-ZA"/>
        </w:rPr>
        <w:tab/>
        <w:t xml:space="preserve">The </w:t>
      </w:r>
      <w:r w:rsidR="006D4AE5" w:rsidRPr="0094447D">
        <w:rPr>
          <w:rFonts w:ascii="Arial" w:eastAsia="Calibri" w:hAnsi="Arial" w:cs="Arial"/>
          <w:sz w:val="24"/>
          <w:szCs w:val="24"/>
          <w:lang w:val="en-ZA"/>
        </w:rPr>
        <w:t xml:space="preserve">National Treasury issues </w:t>
      </w:r>
      <w:r w:rsidR="00BA5450" w:rsidRPr="0094447D">
        <w:rPr>
          <w:rFonts w:ascii="Arial" w:eastAsia="Calibri" w:hAnsi="Arial" w:cs="Arial"/>
          <w:sz w:val="24"/>
          <w:szCs w:val="24"/>
          <w:lang w:val="en-ZA"/>
        </w:rPr>
        <w:t xml:space="preserve">a </w:t>
      </w:r>
      <w:r w:rsidR="006D4AE5" w:rsidRPr="0094447D">
        <w:rPr>
          <w:rFonts w:ascii="Arial" w:eastAsia="Calibri" w:hAnsi="Arial" w:cs="Arial"/>
          <w:sz w:val="24"/>
          <w:szCs w:val="24"/>
          <w:lang w:val="en-ZA"/>
        </w:rPr>
        <w:t xml:space="preserve">municipal </w:t>
      </w:r>
      <w:r w:rsidR="00BA5450" w:rsidRPr="0094447D">
        <w:rPr>
          <w:rFonts w:ascii="Arial" w:eastAsia="Calibri" w:hAnsi="Arial" w:cs="Arial"/>
          <w:sz w:val="24"/>
          <w:szCs w:val="24"/>
          <w:lang w:val="en-ZA"/>
        </w:rPr>
        <w:t>budget circulars to guide</w:t>
      </w:r>
      <w:r w:rsidR="002E7ABC" w:rsidRPr="0094447D">
        <w:rPr>
          <w:rFonts w:ascii="Arial" w:eastAsia="Calibri" w:hAnsi="Arial" w:cs="Arial"/>
          <w:sz w:val="24"/>
          <w:szCs w:val="24"/>
          <w:lang w:val="en-ZA"/>
        </w:rPr>
        <w:t xml:space="preserve"> municipalities on the preparation of their Medium Term Revenue and Expenditure Framework (MTREF).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 </w:t>
      </w:r>
      <w:r w:rsidR="002E7ABC" w:rsidRPr="0094447D">
        <w:rPr>
          <w:rFonts w:ascii="Arial" w:eastAsia="Calibri" w:hAnsi="Arial" w:cs="Arial"/>
          <w:sz w:val="24"/>
          <w:szCs w:val="24"/>
          <w:lang w:val="en-ZA"/>
        </w:rPr>
        <w:t>Given the drought conditions that were experienced in the country, Circular 85, advised</w:t>
      </w:r>
      <w:r w:rsidR="002E7ABC" w:rsidRPr="002E7ABC">
        <w:t xml:space="preserve"> </w:t>
      </w:r>
      <w:r w:rsidR="002E7ABC" w:rsidRPr="0094447D">
        <w:rPr>
          <w:rFonts w:ascii="Arial" w:eastAsia="Calibri" w:hAnsi="Arial" w:cs="Arial"/>
          <w:sz w:val="24"/>
          <w:szCs w:val="24"/>
          <w:lang w:val="en-ZA"/>
        </w:rPr>
        <w:t xml:space="preserve">municipalities to ensure that any drought penalty tariffs </w:t>
      </w:r>
      <w:r w:rsidR="00C974B7" w:rsidRPr="0094447D">
        <w:rPr>
          <w:rFonts w:ascii="Arial" w:eastAsia="Calibri" w:hAnsi="Arial" w:cs="Arial"/>
          <w:sz w:val="24"/>
          <w:szCs w:val="24"/>
          <w:lang w:val="en-ZA"/>
        </w:rPr>
        <w:t>must</w:t>
      </w:r>
      <w:r w:rsidR="00010061" w:rsidRPr="0094447D">
        <w:rPr>
          <w:rFonts w:ascii="Arial" w:eastAsia="Calibri" w:hAnsi="Arial" w:cs="Arial"/>
          <w:sz w:val="24"/>
          <w:szCs w:val="24"/>
          <w:lang w:val="en-ZA"/>
        </w:rPr>
        <w:t xml:space="preserve"> be</w:t>
      </w:r>
      <w:r w:rsidR="002E7ABC" w:rsidRPr="0094447D">
        <w:rPr>
          <w:rFonts w:ascii="Arial" w:eastAsia="Calibri" w:hAnsi="Arial" w:cs="Arial"/>
          <w:sz w:val="24"/>
          <w:szCs w:val="24"/>
          <w:lang w:val="en-ZA"/>
        </w:rPr>
        <w:t xml:space="preserve"> provided for in their tariff policy to be tabled in March 2017 and also to consider incorporating the penalty tariffs in the Inclining Block Tariff (IBT) structure. </w:t>
      </w:r>
    </w:p>
    <w:p w:rsidR="00E646A6" w:rsidRDefault="00E646A6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E646A6" w:rsidRPr="0094447D" w:rsidRDefault="0094447D" w:rsidP="0094447D">
      <w:pPr>
        <w:tabs>
          <w:tab w:val="left" w:pos="432"/>
        </w:tabs>
        <w:spacing w:after="0"/>
        <w:ind w:left="705" w:hanging="705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(b)</w:t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  <w:t xml:space="preserve">The </w:t>
      </w:r>
      <w:r w:rsidR="00C974B7" w:rsidRPr="0094447D">
        <w:rPr>
          <w:rFonts w:ascii="Arial" w:eastAsia="Calibri" w:hAnsi="Arial" w:cs="Arial"/>
          <w:sz w:val="24"/>
          <w:szCs w:val="24"/>
          <w:lang w:val="en-ZA"/>
        </w:rPr>
        <w:t>National Treasury does not confirm water tariff increases but provide</w:t>
      </w:r>
      <w:r>
        <w:rPr>
          <w:rFonts w:ascii="Arial" w:eastAsia="Calibri" w:hAnsi="Arial" w:cs="Arial"/>
          <w:sz w:val="24"/>
          <w:szCs w:val="24"/>
          <w:lang w:val="en-ZA"/>
        </w:rPr>
        <w:t>s</w:t>
      </w:r>
      <w:r w:rsidR="00C974B7" w:rsidRPr="0094447D">
        <w:rPr>
          <w:rFonts w:ascii="Arial" w:eastAsia="Calibri" w:hAnsi="Arial" w:cs="Arial"/>
          <w:sz w:val="24"/>
          <w:szCs w:val="24"/>
          <w:lang w:val="en-ZA"/>
        </w:rPr>
        <w:t xml:space="preserve"> guidance to municipalities on structuring of their tariffs. </w:t>
      </w:r>
    </w:p>
    <w:p w:rsidR="00AF08FE" w:rsidRDefault="00AF08FE" w:rsidP="00AF08FE">
      <w:pPr>
        <w:pStyle w:val="BodyText"/>
        <w:spacing w:line="276" w:lineRule="auto"/>
        <w:ind w:right="99"/>
        <w:jc w:val="both"/>
        <w:rPr>
          <w:rFonts w:ascii="Calibri" w:hAnsi="Calibri" w:cs="Arial"/>
          <w:sz w:val="22"/>
          <w:szCs w:val="22"/>
        </w:rPr>
      </w:pPr>
    </w:p>
    <w:p w:rsidR="00AF08FE" w:rsidRPr="00A35059" w:rsidRDefault="00AF08FE" w:rsidP="00A35059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sectPr w:rsidR="004355E5" w:rsidRPr="002416B5" w:rsidSect="0025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8DB"/>
    <w:multiLevelType w:val="hybridMultilevel"/>
    <w:tmpl w:val="DFCA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66F6"/>
    <w:multiLevelType w:val="hybridMultilevel"/>
    <w:tmpl w:val="7C401DF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A15D1"/>
    <w:multiLevelType w:val="hybridMultilevel"/>
    <w:tmpl w:val="5938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AE7"/>
    <w:multiLevelType w:val="hybridMultilevel"/>
    <w:tmpl w:val="9C4ED0C2"/>
    <w:lvl w:ilvl="0" w:tplc="B90A4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60B8"/>
    <w:multiLevelType w:val="hybridMultilevel"/>
    <w:tmpl w:val="93BE5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559A"/>
    <w:multiLevelType w:val="hybridMultilevel"/>
    <w:tmpl w:val="644E5998"/>
    <w:lvl w:ilvl="0" w:tplc="44F864C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024C"/>
    <w:multiLevelType w:val="hybridMultilevel"/>
    <w:tmpl w:val="426C9FFC"/>
    <w:lvl w:ilvl="0" w:tplc="19960C0A">
      <w:start w:val="2"/>
      <w:numFmt w:val="lowerRoman"/>
      <w:lvlText w:val="(%1)"/>
      <w:lvlJc w:val="left"/>
      <w:pPr>
        <w:ind w:left="3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92950C1"/>
    <w:multiLevelType w:val="hybridMultilevel"/>
    <w:tmpl w:val="74A695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555CD6"/>
    <w:multiLevelType w:val="hybridMultilevel"/>
    <w:tmpl w:val="7C4C0CF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5F445B"/>
    <w:rsid w:val="00010061"/>
    <w:rsid w:val="000D264B"/>
    <w:rsid w:val="000D4D9F"/>
    <w:rsid w:val="00172426"/>
    <w:rsid w:val="00184620"/>
    <w:rsid w:val="00233CC6"/>
    <w:rsid w:val="002416B5"/>
    <w:rsid w:val="002562D4"/>
    <w:rsid w:val="0026535A"/>
    <w:rsid w:val="002E01BE"/>
    <w:rsid w:val="002E7ABC"/>
    <w:rsid w:val="00320945"/>
    <w:rsid w:val="00354837"/>
    <w:rsid w:val="004355E5"/>
    <w:rsid w:val="004856C4"/>
    <w:rsid w:val="00485E58"/>
    <w:rsid w:val="004E1333"/>
    <w:rsid w:val="005B0C24"/>
    <w:rsid w:val="005F445B"/>
    <w:rsid w:val="006715AB"/>
    <w:rsid w:val="006A386A"/>
    <w:rsid w:val="006A471A"/>
    <w:rsid w:val="006D4AE5"/>
    <w:rsid w:val="00737DEA"/>
    <w:rsid w:val="007B66A7"/>
    <w:rsid w:val="0085346A"/>
    <w:rsid w:val="008B6B45"/>
    <w:rsid w:val="008F063C"/>
    <w:rsid w:val="00917BC4"/>
    <w:rsid w:val="00942D61"/>
    <w:rsid w:val="0094447D"/>
    <w:rsid w:val="00955E5D"/>
    <w:rsid w:val="009A6FEC"/>
    <w:rsid w:val="009D4D27"/>
    <w:rsid w:val="00A35059"/>
    <w:rsid w:val="00A46786"/>
    <w:rsid w:val="00A97663"/>
    <w:rsid w:val="00AF08FE"/>
    <w:rsid w:val="00B22BC2"/>
    <w:rsid w:val="00B5456A"/>
    <w:rsid w:val="00B8134C"/>
    <w:rsid w:val="00BA5450"/>
    <w:rsid w:val="00C52EBC"/>
    <w:rsid w:val="00C56C84"/>
    <w:rsid w:val="00C96914"/>
    <w:rsid w:val="00C974B7"/>
    <w:rsid w:val="00CA6056"/>
    <w:rsid w:val="00D21CB6"/>
    <w:rsid w:val="00D3235F"/>
    <w:rsid w:val="00D37316"/>
    <w:rsid w:val="00D46C65"/>
    <w:rsid w:val="00E2513B"/>
    <w:rsid w:val="00E646A6"/>
    <w:rsid w:val="00EE110F"/>
    <w:rsid w:val="00F7088F"/>
    <w:rsid w:val="00FA7C76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6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08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F08F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6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08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F08F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PUMZA</cp:lastModifiedBy>
  <cp:revision>2</cp:revision>
  <cp:lastPrinted>2017-06-21T13:16:00Z</cp:lastPrinted>
  <dcterms:created xsi:type="dcterms:W3CDTF">2017-07-04T11:14:00Z</dcterms:created>
  <dcterms:modified xsi:type="dcterms:W3CDTF">2017-07-04T11:14:00Z</dcterms:modified>
</cp:coreProperties>
</file>