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FB6E9B" w:rsidRDefault="00CC32BE" w:rsidP="00DB32F0">
      <w:pPr>
        <w:rPr>
          <w:rFonts w:ascii="Arial" w:eastAsia="Times New Roman" w:hAnsi="Arial" w:cs="Arial"/>
          <w:b/>
          <w:snapToGrid w:val="0"/>
          <w:color w:val="000000"/>
          <w:lang w:val="en-GB"/>
        </w:rPr>
      </w:pPr>
      <w:bookmarkStart w:id="0" w:name="_GoBack"/>
      <w:bookmarkEnd w:id="0"/>
      <w:r w:rsidRPr="00FB6E9B">
        <w:rPr>
          <w:rFonts w:ascii="Arial" w:eastAsia="Times New Roman" w:hAnsi="Arial" w:cs="Arial"/>
          <w:b/>
          <w:snapToGrid w:val="0"/>
          <w:color w:val="000000"/>
          <w:lang w:val="en-GB"/>
        </w:rPr>
        <w:t>____________________________________</w:t>
      </w:r>
      <w:r w:rsidR="00820BCE" w:rsidRPr="00FB6E9B">
        <w:rPr>
          <w:rFonts w:ascii="Arial" w:eastAsia="Times New Roman" w:hAnsi="Arial" w:cs="Arial"/>
          <w:b/>
          <w:snapToGrid w:val="0"/>
          <w:color w:val="000000"/>
          <w:lang w:val="en-GB"/>
        </w:rPr>
        <w:t>____</w:t>
      </w:r>
      <w:r w:rsidR="00FB6E9B">
        <w:rPr>
          <w:rFonts w:ascii="Arial" w:eastAsia="Times New Roman" w:hAnsi="Arial" w:cs="Arial"/>
          <w:b/>
          <w:snapToGrid w:val="0"/>
          <w:color w:val="000000"/>
          <w:lang w:val="en-GB"/>
        </w:rPr>
        <w:t>_________________________________</w:t>
      </w:r>
    </w:p>
    <w:p w:rsidR="00D33C41" w:rsidRPr="00FB6E9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FB6E9B">
        <w:rPr>
          <w:rFonts w:ascii="Arial" w:eastAsia="Times New Roman" w:hAnsi="Arial" w:cs="Arial"/>
          <w:b/>
          <w:snapToGrid w:val="0"/>
          <w:color w:val="000000"/>
          <w:lang w:val="en-GB"/>
        </w:rPr>
        <w:t xml:space="preserve">NATIONAL </w:t>
      </w:r>
      <w:r w:rsidR="00382D1D" w:rsidRPr="00FB6E9B">
        <w:rPr>
          <w:rFonts w:ascii="Arial" w:eastAsia="Times New Roman" w:hAnsi="Arial" w:cs="Arial"/>
          <w:b/>
          <w:snapToGrid w:val="0"/>
          <w:color w:val="000000"/>
          <w:lang w:val="en-GB"/>
        </w:rPr>
        <w:t xml:space="preserve">ASSEMBLY </w:t>
      </w:r>
      <w:r w:rsidR="007A7AE6" w:rsidRPr="00FB6E9B">
        <w:rPr>
          <w:rFonts w:ascii="Arial" w:eastAsia="Times New Roman" w:hAnsi="Arial" w:cs="Arial"/>
          <w:b/>
          <w:snapToGrid w:val="0"/>
          <w:color w:val="000000"/>
          <w:lang w:val="en-GB"/>
        </w:rPr>
        <w:t xml:space="preserve">QUESTION FOR </w:t>
      </w:r>
      <w:r w:rsidR="00193B0E" w:rsidRPr="00FB6E9B">
        <w:rPr>
          <w:rFonts w:ascii="Arial" w:eastAsia="Times New Roman" w:hAnsi="Arial" w:cs="Arial"/>
          <w:b/>
          <w:snapToGrid w:val="0"/>
          <w:color w:val="000000"/>
          <w:lang w:val="en-GB"/>
        </w:rPr>
        <w:t>WRITTEN</w:t>
      </w:r>
      <w:r w:rsidRPr="00FB6E9B">
        <w:rPr>
          <w:rFonts w:ascii="Arial" w:eastAsia="Times New Roman" w:hAnsi="Arial" w:cs="Arial"/>
          <w:b/>
          <w:snapToGrid w:val="0"/>
          <w:color w:val="000000"/>
          <w:lang w:val="en-GB"/>
        </w:rPr>
        <w:t xml:space="preserve"> REPLY</w:t>
      </w:r>
    </w:p>
    <w:p w:rsidR="00D33C41" w:rsidRPr="00FB6E9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FB6E9B">
        <w:rPr>
          <w:rFonts w:ascii="Arial" w:eastAsia="Times New Roman" w:hAnsi="Arial" w:cs="Arial"/>
          <w:b/>
          <w:snapToGrid w:val="0"/>
          <w:lang w:val="en-GB"/>
        </w:rPr>
        <w:t>QUESTION NUMBER:</w:t>
      </w:r>
      <w:r w:rsidR="00E556BF" w:rsidRPr="00FB6E9B">
        <w:rPr>
          <w:rFonts w:ascii="Arial" w:eastAsia="Times New Roman" w:hAnsi="Arial" w:cs="Arial"/>
          <w:b/>
          <w:snapToGrid w:val="0"/>
          <w:lang w:val="en-GB"/>
        </w:rPr>
        <w:t xml:space="preserve"> </w:t>
      </w:r>
      <w:r w:rsidRPr="00FB6E9B">
        <w:rPr>
          <w:rFonts w:ascii="Arial" w:eastAsia="Times New Roman" w:hAnsi="Arial" w:cs="Arial"/>
          <w:b/>
          <w:snapToGrid w:val="0"/>
          <w:lang w:val="en-GB"/>
        </w:rPr>
        <w:tab/>
      </w:r>
      <w:r w:rsidR="00003917" w:rsidRPr="00FB6E9B">
        <w:rPr>
          <w:rFonts w:ascii="Arial" w:eastAsia="Times New Roman" w:hAnsi="Arial" w:cs="Arial"/>
          <w:b/>
          <w:snapToGrid w:val="0"/>
          <w:lang w:val="en-GB"/>
        </w:rPr>
        <w:t>1</w:t>
      </w:r>
      <w:r w:rsidR="00A5068C" w:rsidRPr="00FB6E9B">
        <w:rPr>
          <w:rFonts w:ascii="Arial" w:eastAsia="Times New Roman" w:hAnsi="Arial" w:cs="Arial"/>
          <w:b/>
          <w:snapToGrid w:val="0"/>
          <w:lang w:val="en-GB"/>
        </w:rPr>
        <w:t>862</w:t>
      </w:r>
    </w:p>
    <w:p w:rsidR="00D33C41" w:rsidRPr="00FB6E9B" w:rsidRDefault="00D33C41" w:rsidP="00FB4659">
      <w:pPr>
        <w:spacing w:after="120" w:line="240" w:lineRule="auto"/>
        <w:jc w:val="center"/>
        <w:rPr>
          <w:rFonts w:ascii="Arial" w:eastAsia="Times New Roman" w:hAnsi="Arial" w:cs="Arial"/>
          <w:b/>
          <w:snapToGrid w:val="0"/>
          <w:lang w:val="en-GB"/>
        </w:rPr>
      </w:pPr>
      <w:r w:rsidRPr="00FB6E9B">
        <w:rPr>
          <w:rFonts w:ascii="Arial" w:eastAsia="Times New Roman" w:hAnsi="Arial" w:cs="Arial"/>
          <w:b/>
          <w:snapToGrid w:val="0"/>
          <w:lang w:val="en-GB"/>
        </w:rPr>
        <w:t xml:space="preserve">DATE OF PUBLICATION IN INTERNAL QUESTION PAPER: </w:t>
      </w:r>
      <w:r w:rsidR="00A5068C" w:rsidRPr="00FB6E9B">
        <w:rPr>
          <w:rFonts w:ascii="Arial" w:eastAsia="Times New Roman" w:hAnsi="Arial" w:cs="Arial"/>
          <w:b/>
          <w:snapToGrid w:val="0"/>
          <w:lang w:val="en-GB"/>
        </w:rPr>
        <w:t>13 MAY</w:t>
      </w:r>
      <w:r w:rsidR="009E7540" w:rsidRPr="00FB6E9B">
        <w:rPr>
          <w:rFonts w:ascii="Arial" w:eastAsia="Times New Roman" w:hAnsi="Arial" w:cs="Arial"/>
          <w:b/>
          <w:snapToGrid w:val="0"/>
          <w:lang w:val="en-GB"/>
        </w:rPr>
        <w:t xml:space="preserve"> 202</w:t>
      </w:r>
      <w:r w:rsidR="00571987" w:rsidRPr="00FB6E9B">
        <w:rPr>
          <w:rFonts w:ascii="Arial" w:eastAsia="Times New Roman" w:hAnsi="Arial" w:cs="Arial"/>
          <w:b/>
          <w:snapToGrid w:val="0"/>
          <w:lang w:val="en-GB"/>
        </w:rPr>
        <w:t>2</w:t>
      </w:r>
    </w:p>
    <w:p w:rsidR="00D33C41" w:rsidRPr="00FB6E9B"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FB6E9B">
        <w:rPr>
          <w:rFonts w:ascii="Arial" w:eastAsia="Times New Roman" w:hAnsi="Arial" w:cs="Arial"/>
          <w:b/>
          <w:snapToGrid w:val="0"/>
          <w:lang w:val="en-GB"/>
        </w:rPr>
        <w:t xml:space="preserve">INTERNAL QUESTION PAPER NUMBER:  </w:t>
      </w:r>
      <w:r w:rsidR="00670DC9" w:rsidRPr="00FB6E9B">
        <w:rPr>
          <w:rFonts w:ascii="Arial" w:eastAsia="Times New Roman" w:hAnsi="Arial" w:cs="Arial"/>
          <w:b/>
          <w:snapToGrid w:val="0"/>
          <w:lang w:val="en-GB"/>
        </w:rPr>
        <w:t>1</w:t>
      </w:r>
      <w:r w:rsidR="00A5068C" w:rsidRPr="00FB6E9B">
        <w:rPr>
          <w:rFonts w:ascii="Arial" w:eastAsia="Times New Roman" w:hAnsi="Arial" w:cs="Arial"/>
          <w:b/>
          <w:snapToGrid w:val="0"/>
          <w:lang w:val="en-GB"/>
        </w:rPr>
        <w:t>7</w:t>
      </w:r>
      <w:r w:rsidR="00505A71" w:rsidRPr="00FB6E9B">
        <w:rPr>
          <w:rFonts w:ascii="Arial" w:eastAsia="Times New Roman" w:hAnsi="Arial" w:cs="Arial"/>
          <w:b/>
          <w:snapToGrid w:val="0"/>
          <w:lang w:val="en-GB"/>
        </w:rPr>
        <w:t xml:space="preserve"> </w:t>
      </w:r>
      <w:r w:rsidR="009E7540" w:rsidRPr="00FB6E9B">
        <w:rPr>
          <w:rFonts w:ascii="Arial" w:eastAsia="Times New Roman" w:hAnsi="Arial" w:cs="Arial"/>
          <w:b/>
          <w:snapToGrid w:val="0"/>
          <w:lang w:val="en-GB"/>
        </w:rPr>
        <w:t>- 202</w:t>
      </w:r>
      <w:r w:rsidR="00343A08" w:rsidRPr="00FB6E9B">
        <w:rPr>
          <w:rFonts w:ascii="Arial" w:eastAsia="Times New Roman" w:hAnsi="Arial" w:cs="Arial"/>
          <w:b/>
          <w:snapToGrid w:val="0"/>
          <w:lang w:val="en-GB"/>
        </w:rPr>
        <w:t>2</w:t>
      </w:r>
    </w:p>
    <w:p w:rsidR="00A5068C" w:rsidRPr="00FB6E9B" w:rsidRDefault="00A5068C" w:rsidP="00A5068C">
      <w:pPr>
        <w:spacing w:before="100" w:beforeAutospacing="1" w:after="100" w:afterAutospacing="1" w:line="240" w:lineRule="auto"/>
        <w:ind w:left="720" w:hanging="720"/>
        <w:jc w:val="both"/>
        <w:outlineLvl w:val="0"/>
        <w:rPr>
          <w:rFonts w:ascii="Arial" w:hAnsi="Arial" w:cs="Arial"/>
        </w:rPr>
      </w:pPr>
      <w:r w:rsidRPr="00FB6E9B">
        <w:rPr>
          <w:rFonts w:ascii="Arial" w:hAnsi="Arial" w:cs="Arial"/>
          <w:b/>
        </w:rPr>
        <w:t>1862.</w:t>
      </w:r>
      <w:r w:rsidRPr="00FB6E9B">
        <w:rPr>
          <w:rFonts w:ascii="Arial" w:hAnsi="Arial" w:cs="Arial"/>
          <w:b/>
        </w:rPr>
        <w:tab/>
        <w:t>Ms A L A Abrahams (DA) to ask the Minister of Social Development</w:t>
      </w:r>
      <w:r w:rsidR="005962A3" w:rsidRPr="00FB6E9B">
        <w:rPr>
          <w:rFonts w:ascii="Arial" w:hAnsi="Arial" w:cs="Arial"/>
          <w:b/>
        </w:rPr>
        <w:fldChar w:fldCharType="begin"/>
      </w:r>
      <w:r w:rsidRPr="00FB6E9B">
        <w:rPr>
          <w:rFonts w:ascii="Arial" w:hAnsi="Arial" w:cs="Arial"/>
        </w:rPr>
        <w:instrText xml:space="preserve"> XE "</w:instrText>
      </w:r>
      <w:r w:rsidRPr="00FB6E9B">
        <w:rPr>
          <w:rFonts w:ascii="Arial" w:hAnsi="Arial" w:cs="Arial"/>
          <w:b/>
          <w:bCs/>
        </w:rPr>
        <w:instrText>Social Development</w:instrText>
      </w:r>
      <w:r w:rsidRPr="00FB6E9B">
        <w:rPr>
          <w:rFonts w:ascii="Arial" w:hAnsi="Arial" w:cs="Arial"/>
        </w:rPr>
        <w:instrText xml:space="preserve">" </w:instrText>
      </w:r>
      <w:r w:rsidR="005962A3" w:rsidRPr="00FB6E9B">
        <w:rPr>
          <w:rFonts w:ascii="Arial" w:hAnsi="Arial" w:cs="Arial"/>
          <w:b/>
        </w:rPr>
        <w:fldChar w:fldCharType="end"/>
      </w:r>
      <w:r w:rsidRPr="00FB6E9B">
        <w:rPr>
          <w:rFonts w:ascii="Arial" w:hAnsi="Arial" w:cs="Arial"/>
          <w:b/>
        </w:rPr>
        <w:t xml:space="preserve">: </w:t>
      </w:r>
    </w:p>
    <w:p w:rsidR="00A5068C" w:rsidRPr="00FB6E9B" w:rsidRDefault="00A5068C" w:rsidP="00A5068C">
      <w:pPr>
        <w:spacing w:before="100" w:beforeAutospacing="1" w:after="100" w:afterAutospacing="1" w:line="240" w:lineRule="auto"/>
        <w:ind w:left="1440" w:hanging="720"/>
        <w:jc w:val="both"/>
        <w:outlineLvl w:val="0"/>
        <w:rPr>
          <w:rFonts w:ascii="Arial" w:hAnsi="Arial" w:cs="Arial"/>
        </w:rPr>
      </w:pPr>
      <w:r w:rsidRPr="00FB6E9B">
        <w:rPr>
          <w:rFonts w:ascii="Arial" w:hAnsi="Arial" w:cs="Arial"/>
        </w:rPr>
        <w:t>(1)</w:t>
      </w:r>
      <w:r w:rsidRPr="00FB6E9B">
        <w:rPr>
          <w:rFonts w:ascii="Arial" w:hAnsi="Arial" w:cs="Arial"/>
        </w:rPr>
        <w:tab/>
        <w:t>Whether, with reference to her department’s announcement during the meeting of the Portfolio Committee on Social Development on 20 April 2022 that the Child Support Grant (CSG) Top-Up will be implemented in May 2022, she will furnish Ms A L A Abrahams</w:t>
      </w:r>
      <w:r w:rsidRPr="00FB6E9B">
        <w:rPr>
          <w:rFonts w:ascii="Arial" w:hAnsi="Arial" w:cs="Arial"/>
          <w:b/>
        </w:rPr>
        <w:t xml:space="preserve"> </w:t>
      </w:r>
      <w:r w:rsidRPr="00FB6E9B">
        <w:rPr>
          <w:rFonts w:ascii="Arial" w:hAnsi="Arial" w:cs="Arial"/>
        </w:rPr>
        <w:t>with further relevant information on (a) the total number of beneficiaries who will benefit from the CSG Top-Up, (b) how the beneficiaries were identified, (c) the Rand value to be allocated to each beneficiary in May 2022, (d) the exact date in May 2022 that the CSG Top-up Grant will be paid to beneficiaries and (e) the total budget allocated for the 2022</w:t>
      </w:r>
      <w:r w:rsidRPr="00FB6E9B">
        <w:rPr>
          <w:rFonts w:ascii="Arial" w:hAnsi="Arial" w:cs="Arial"/>
        </w:rPr>
        <w:noBreakHyphen/>
        <w:t>23 financial year for the CSG Top-Up grant; if not, why not; if so, what are the relevant details;</w:t>
      </w:r>
    </w:p>
    <w:p w:rsidR="00A5068C" w:rsidRPr="00FB6E9B" w:rsidRDefault="00A5068C" w:rsidP="00A5068C">
      <w:pPr>
        <w:spacing w:before="100" w:beforeAutospacing="1" w:after="100" w:afterAutospacing="1" w:line="240" w:lineRule="auto"/>
        <w:ind w:left="1440" w:hanging="720"/>
        <w:jc w:val="both"/>
        <w:outlineLvl w:val="0"/>
        <w:rPr>
          <w:rFonts w:ascii="Arial" w:hAnsi="Arial" w:cs="Arial"/>
        </w:rPr>
      </w:pPr>
      <w:r w:rsidRPr="00FB6E9B">
        <w:rPr>
          <w:rFonts w:ascii="Arial" w:hAnsi="Arial" w:cs="Arial"/>
        </w:rPr>
        <w:t>(2)</w:t>
      </w:r>
      <w:r w:rsidRPr="00FB6E9B">
        <w:rPr>
          <w:rFonts w:ascii="Arial" w:hAnsi="Arial" w:cs="Arial"/>
        </w:rPr>
        <w:tab/>
        <w:t>whether beneficiaries need to submit online application for the CSG top-up grant; if not, what is the position in this regard; if so, what are the relevant details;</w:t>
      </w:r>
    </w:p>
    <w:p w:rsidR="00A5068C" w:rsidRPr="00FB6E9B" w:rsidRDefault="00A5068C" w:rsidP="00A5068C">
      <w:pPr>
        <w:spacing w:before="100" w:beforeAutospacing="1" w:after="100" w:afterAutospacing="1" w:line="240" w:lineRule="auto"/>
        <w:ind w:left="1440" w:hanging="720"/>
        <w:jc w:val="both"/>
        <w:outlineLvl w:val="0"/>
        <w:rPr>
          <w:rFonts w:ascii="Arial" w:hAnsi="Arial" w:cs="Arial"/>
        </w:rPr>
      </w:pPr>
      <w:r w:rsidRPr="00FB6E9B">
        <w:rPr>
          <w:rFonts w:ascii="Arial" w:hAnsi="Arial" w:cs="Arial"/>
        </w:rPr>
        <w:t>(3)</w:t>
      </w:r>
      <w:r w:rsidRPr="00FB6E9B">
        <w:rPr>
          <w:rFonts w:ascii="Arial" w:hAnsi="Arial" w:cs="Arial"/>
        </w:rPr>
        <w:tab/>
        <w:t>whether the CSG top-up grant will be a permanent grant from May 2022 onwards; if not, why not; if so, what are the relevant details;</w:t>
      </w:r>
    </w:p>
    <w:p w:rsidR="00A5068C" w:rsidRPr="00FB6E9B" w:rsidRDefault="00A5068C" w:rsidP="00A5068C">
      <w:pPr>
        <w:spacing w:before="100" w:beforeAutospacing="1" w:after="100" w:afterAutospacing="1" w:line="240" w:lineRule="auto"/>
        <w:ind w:left="1440" w:hanging="720"/>
        <w:jc w:val="both"/>
        <w:outlineLvl w:val="0"/>
        <w:rPr>
          <w:rFonts w:ascii="Arial" w:hAnsi="Arial" w:cs="Arial"/>
        </w:rPr>
      </w:pPr>
      <w:r w:rsidRPr="00FB6E9B">
        <w:rPr>
          <w:rFonts w:ascii="Arial" w:hAnsi="Arial" w:cs="Arial"/>
        </w:rPr>
        <w:t>(4)</w:t>
      </w:r>
      <w:r w:rsidRPr="00FB6E9B">
        <w:rPr>
          <w:rFonts w:ascii="Arial" w:hAnsi="Arial" w:cs="Arial"/>
        </w:rPr>
        <w:tab/>
        <w:t>whether she has found that the top-up grant will improve the lives of vulnerable children in the Republic; if not, why not; if so, (a) how and (b) what are the further relevant details?</w:t>
      </w:r>
      <w:r w:rsidRPr="00FB6E9B">
        <w:rPr>
          <w:rFonts w:ascii="Arial" w:hAnsi="Arial" w:cs="Arial"/>
        </w:rPr>
        <w:tab/>
      </w:r>
      <w:r w:rsidRPr="00FB6E9B">
        <w:rPr>
          <w:rFonts w:ascii="Arial" w:hAnsi="Arial" w:cs="Arial"/>
        </w:rPr>
        <w:tab/>
      </w:r>
      <w:r w:rsidRPr="00FB6E9B">
        <w:rPr>
          <w:rFonts w:ascii="Arial" w:hAnsi="Arial" w:cs="Arial"/>
        </w:rPr>
        <w:tab/>
      </w:r>
      <w:r w:rsidRPr="00FB6E9B">
        <w:rPr>
          <w:rFonts w:ascii="Arial" w:hAnsi="Arial" w:cs="Arial"/>
        </w:rPr>
        <w:tab/>
      </w:r>
      <w:r w:rsidRPr="00FB6E9B">
        <w:rPr>
          <w:rFonts w:ascii="Arial" w:hAnsi="Arial" w:cs="Arial"/>
        </w:rPr>
        <w:tab/>
      </w:r>
      <w:r w:rsidRPr="00FB6E9B">
        <w:rPr>
          <w:rFonts w:ascii="Arial" w:hAnsi="Arial" w:cs="Arial"/>
        </w:rPr>
        <w:tab/>
        <w:t>NW2198E</w:t>
      </w:r>
    </w:p>
    <w:p w:rsidR="00DA4793" w:rsidRPr="00FB6E9B" w:rsidRDefault="00DA4793" w:rsidP="00BD3C49">
      <w:pPr>
        <w:spacing w:after="0" w:line="240" w:lineRule="auto"/>
        <w:jc w:val="both"/>
        <w:rPr>
          <w:rFonts w:ascii="Arial" w:eastAsia="Times New Roman" w:hAnsi="Arial" w:cs="Arial"/>
          <w:b/>
          <w:snapToGrid w:val="0"/>
          <w:color w:val="000000"/>
          <w:lang w:val="en-GB"/>
        </w:rPr>
      </w:pPr>
      <w:r w:rsidRPr="00FB6E9B">
        <w:rPr>
          <w:rFonts w:ascii="Arial" w:eastAsia="Times New Roman" w:hAnsi="Arial" w:cs="Arial"/>
          <w:b/>
          <w:snapToGrid w:val="0"/>
          <w:color w:val="000000"/>
          <w:lang w:val="en-GB"/>
        </w:rPr>
        <w:t>REPLY:</w:t>
      </w:r>
    </w:p>
    <w:p w:rsidR="005F4F81" w:rsidRPr="00FB6E9B" w:rsidRDefault="00554CFC" w:rsidP="00DA4793">
      <w:pPr>
        <w:spacing w:before="100" w:beforeAutospacing="1" w:after="100" w:afterAutospacing="1"/>
        <w:jc w:val="both"/>
        <w:rPr>
          <w:rFonts w:ascii="Arial" w:hAnsi="Arial" w:cs="Arial"/>
        </w:rPr>
      </w:pPr>
      <w:r w:rsidRPr="00FB6E9B">
        <w:rPr>
          <w:rFonts w:ascii="Arial" w:hAnsi="Arial" w:cs="Arial"/>
        </w:rPr>
        <w:t>1 (a) The projected number of beneficiaries</w:t>
      </w:r>
      <w:r w:rsidR="005F4F81" w:rsidRPr="00FB6E9B">
        <w:rPr>
          <w:rFonts w:ascii="Arial" w:hAnsi="Arial" w:cs="Arial"/>
        </w:rPr>
        <w:t xml:space="preserve"> for CSG top up are as follow:</w:t>
      </w:r>
    </w:p>
    <w:p w:rsidR="005F4F81" w:rsidRPr="00FB6E9B" w:rsidRDefault="005F4F81" w:rsidP="00554CFC">
      <w:pPr>
        <w:pStyle w:val="ListParagraph"/>
        <w:numPr>
          <w:ilvl w:val="0"/>
          <w:numId w:val="21"/>
        </w:numPr>
        <w:spacing w:before="100" w:beforeAutospacing="1" w:after="100" w:afterAutospacing="1"/>
        <w:jc w:val="both"/>
        <w:rPr>
          <w:rFonts w:ascii="Arial" w:hAnsi="Arial" w:cs="Arial"/>
        </w:rPr>
      </w:pPr>
      <w:r w:rsidRPr="00FB6E9B">
        <w:rPr>
          <w:rFonts w:ascii="Arial" w:hAnsi="Arial" w:cs="Arial"/>
        </w:rPr>
        <w:t>2022/23 -  191,200</w:t>
      </w:r>
    </w:p>
    <w:p w:rsidR="005F4F81" w:rsidRPr="00FB6E9B" w:rsidRDefault="005F4F81" w:rsidP="00554CFC">
      <w:pPr>
        <w:pStyle w:val="ListParagraph"/>
        <w:numPr>
          <w:ilvl w:val="0"/>
          <w:numId w:val="21"/>
        </w:numPr>
        <w:spacing w:before="100" w:beforeAutospacing="1" w:after="100" w:afterAutospacing="1"/>
        <w:jc w:val="both"/>
        <w:rPr>
          <w:rFonts w:ascii="Arial" w:hAnsi="Arial" w:cs="Arial"/>
        </w:rPr>
      </w:pPr>
      <w:r w:rsidRPr="00FB6E9B">
        <w:rPr>
          <w:rFonts w:ascii="Arial" w:hAnsi="Arial" w:cs="Arial"/>
        </w:rPr>
        <w:t>2023/24 -  238,500</w:t>
      </w:r>
    </w:p>
    <w:p w:rsidR="0093221B" w:rsidRPr="00FB6E9B" w:rsidRDefault="005F4F81" w:rsidP="00554CFC">
      <w:pPr>
        <w:pStyle w:val="ListParagraph"/>
        <w:numPr>
          <w:ilvl w:val="0"/>
          <w:numId w:val="21"/>
        </w:numPr>
        <w:spacing w:before="100" w:beforeAutospacing="1" w:after="100" w:afterAutospacing="1"/>
        <w:jc w:val="both"/>
        <w:rPr>
          <w:rFonts w:ascii="Arial" w:hAnsi="Arial" w:cs="Arial"/>
        </w:rPr>
      </w:pPr>
      <w:r w:rsidRPr="00FB6E9B">
        <w:rPr>
          <w:rFonts w:ascii="Arial" w:hAnsi="Arial" w:cs="Arial"/>
        </w:rPr>
        <w:t>2024/25 -  287,400</w:t>
      </w:r>
    </w:p>
    <w:p w:rsidR="00CE6A06" w:rsidRPr="00FB6E9B" w:rsidRDefault="005717B4" w:rsidP="005717B4">
      <w:pPr>
        <w:spacing w:before="100" w:beforeAutospacing="1" w:after="100" w:afterAutospacing="1"/>
        <w:jc w:val="both"/>
        <w:rPr>
          <w:rFonts w:ascii="Arial" w:hAnsi="Arial" w:cs="Arial"/>
        </w:rPr>
      </w:pPr>
      <w:r w:rsidRPr="00FB6E9B">
        <w:rPr>
          <w:rFonts w:ascii="Arial" w:hAnsi="Arial" w:cs="Arial"/>
        </w:rPr>
        <w:lastRenderedPageBreak/>
        <w:t>(b)</w:t>
      </w:r>
      <w:r w:rsidR="00CE6A06" w:rsidRPr="00FB6E9B">
        <w:rPr>
          <w:rFonts w:ascii="Arial" w:hAnsi="Arial" w:cs="Arial"/>
          <w:color w:val="00B050"/>
        </w:rPr>
        <w:t xml:space="preserve"> </w:t>
      </w:r>
      <w:r w:rsidRPr="00FB6E9B">
        <w:rPr>
          <w:rFonts w:ascii="Arial" w:hAnsi="Arial" w:cs="Arial"/>
        </w:rPr>
        <w:t>The CSG top</w:t>
      </w:r>
      <w:r w:rsidR="00196752">
        <w:rPr>
          <w:rFonts w:ascii="Arial" w:hAnsi="Arial" w:cs="Arial"/>
        </w:rPr>
        <w:t>-</w:t>
      </w:r>
      <w:r w:rsidRPr="00FB6E9B">
        <w:rPr>
          <w:rFonts w:ascii="Arial" w:hAnsi="Arial" w:cs="Arial"/>
        </w:rPr>
        <w:t xml:space="preserve">up </w:t>
      </w:r>
      <w:r w:rsidR="00196752">
        <w:rPr>
          <w:rFonts w:ascii="Arial" w:hAnsi="Arial" w:cs="Arial"/>
        </w:rPr>
        <w:t xml:space="preserve">grant </w:t>
      </w:r>
      <w:r w:rsidRPr="00FB6E9B">
        <w:rPr>
          <w:rFonts w:ascii="Arial" w:hAnsi="Arial" w:cs="Arial"/>
        </w:rPr>
        <w:t>is not a new grant</w:t>
      </w:r>
      <w:r w:rsidR="00196752">
        <w:rPr>
          <w:rFonts w:ascii="Arial" w:hAnsi="Arial" w:cs="Arial"/>
        </w:rPr>
        <w:t xml:space="preserve"> as </w:t>
      </w:r>
      <w:r w:rsidRPr="00FB6E9B">
        <w:rPr>
          <w:rFonts w:ascii="Arial" w:hAnsi="Arial" w:cs="Arial"/>
        </w:rPr>
        <w:t>it builds on the existing Child Support Grant</w:t>
      </w:r>
      <w:r w:rsidR="00196752">
        <w:rPr>
          <w:rFonts w:ascii="Arial" w:hAnsi="Arial" w:cs="Arial"/>
        </w:rPr>
        <w:t xml:space="preserve"> </w:t>
      </w:r>
      <w:r w:rsidRPr="00FB6E9B">
        <w:rPr>
          <w:rFonts w:ascii="Arial" w:hAnsi="Arial" w:cs="Arial"/>
        </w:rPr>
        <w:t>by increasing the amount allocated to orphans in the care of relatives and</w:t>
      </w:r>
      <w:r w:rsidR="00821B38" w:rsidRPr="00FB6E9B">
        <w:rPr>
          <w:rFonts w:ascii="Arial" w:hAnsi="Arial" w:cs="Arial"/>
        </w:rPr>
        <w:t xml:space="preserve"> orphans in</w:t>
      </w:r>
      <w:r w:rsidRPr="00FB6E9B">
        <w:rPr>
          <w:rFonts w:ascii="Arial" w:hAnsi="Arial" w:cs="Arial"/>
        </w:rPr>
        <w:t xml:space="preserve"> </w:t>
      </w:r>
      <w:r w:rsidR="00196752">
        <w:rPr>
          <w:rFonts w:ascii="Arial" w:hAnsi="Arial" w:cs="Arial"/>
        </w:rPr>
        <w:t>c</w:t>
      </w:r>
      <w:r w:rsidRPr="00FB6E9B">
        <w:rPr>
          <w:rFonts w:ascii="Arial" w:hAnsi="Arial" w:cs="Arial"/>
        </w:rPr>
        <w:t>hild</w:t>
      </w:r>
      <w:r w:rsidR="00196752">
        <w:rPr>
          <w:rFonts w:ascii="Arial" w:hAnsi="Arial" w:cs="Arial"/>
        </w:rPr>
        <w:t>-h</w:t>
      </w:r>
      <w:r w:rsidRPr="00FB6E9B">
        <w:rPr>
          <w:rFonts w:ascii="Arial" w:hAnsi="Arial" w:cs="Arial"/>
        </w:rPr>
        <w:t xml:space="preserve">eaded </w:t>
      </w:r>
      <w:r w:rsidR="00196752">
        <w:rPr>
          <w:rFonts w:ascii="Arial" w:hAnsi="Arial" w:cs="Arial"/>
        </w:rPr>
        <w:t>h</w:t>
      </w:r>
      <w:r w:rsidRPr="00FB6E9B">
        <w:rPr>
          <w:rFonts w:ascii="Arial" w:hAnsi="Arial" w:cs="Arial"/>
        </w:rPr>
        <w:t>ouseholds</w:t>
      </w:r>
      <w:r w:rsidR="00196752">
        <w:rPr>
          <w:rFonts w:ascii="Arial" w:hAnsi="Arial" w:cs="Arial"/>
        </w:rPr>
        <w:t xml:space="preserve">. </w:t>
      </w:r>
      <w:r w:rsidRPr="00FB6E9B">
        <w:rPr>
          <w:rFonts w:ascii="Arial" w:hAnsi="Arial" w:cs="Arial"/>
        </w:rPr>
        <w:t xml:space="preserve"> </w:t>
      </w:r>
    </w:p>
    <w:p w:rsidR="005717B4" w:rsidRPr="00FB6E9B" w:rsidRDefault="00821B38" w:rsidP="005717B4">
      <w:pPr>
        <w:spacing w:before="100" w:beforeAutospacing="1" w:after="100" w:afterAutospacing="1"/>
        <w:jc w:val="both"/>
        <w:rPr>
          <w:rFonts w:ascii="Arial" w:hAnsi="Arial" w:cs="Arial"/>
        </w:rPr>
      </w:pPr>
      <w:r w:rsidRPr="00FB6E9B">
        <w:rPr>
          <w:rFonts w:ascii="Arial" w:hAnsi="Arial" w:cs="Arial"/>
        </w:rPr>
        <w:t>T</w:t>
      </w:r>
      <w:r w:rsidR="005717B4" w:rsidRPr="00FB6E9B">
        <w:rPr>
          <w:rFonts w:ascii="Arial" w:hAnsi="Arial" w:cs="Arial"/>
        </w:rPr>
        <w:t>he following criteria is used to identify potential CSG top up beneficiaries:</w:t>
      </w:r>
    </w:p>
    <w:p w:rsidR="005717B4" w:rsidRPr="00FB6E9B" w:rsidRDefault="005717B4" w:rsidP="00554CFC">
      <w:pPr>
        <w:pStyle w:val="ListParagraph"/>
        <w:numPr>
          <w:ilvl w:val="0"/>
          <w:numId w:val="22"/>
        </w:numPr>
        <w:spacing w:before="100" w:beforeAutospacing="1" w:after="100" w:afterAutospacing="1"/>
        <w:jc w:val="both"/>
        <w:rPr>
          <w:rFonts w:ascii="Arial" w:hAnsi="Arial" w:cs="Arial"/>
        </w:rPr>
      </w:pPr>
      <w:r w:rsidRPr="00FB6E9B">
        <w:rPr>
          <w:rFonts w:ascii="Arial" w:hAnsi="Arial" w:cs="Arial"/>
        </w:rPr>
        <w:t xml:space="preserve">A child heading a household who is aged between 16 and 18 can apply for and receive the child support grant for him/herself as well as receive the CSG Top Up for </w:t>
      </w:r>
      <w:r w:rsidR="005F5A3E" w:rsidRPr="00FB6E9B">
        <w:rPr>
          <w:rFonts w:ascii="Arial" w:hAnsi="Arial" w:cs="Arial"/>
        </w:rPr>
        <w:t>the children under his/her care.</w:t>
      </w:r>
    </w:p>
    <w:p w:rsidR="005717B4" w:rsidRPr="00FB6E9B" w:rsidRDefault="005F5A3E" w:rsidP="00554CFC">
      <w:pPr>
        <w:pStyle w:val="ListParagraph"/>
        <w:numPr>
          <w:ilvl w:val="0"/>
          <w:numId w:val="22"/>
        </w:numPr>
        <w:spacing w:before="100" w:beforeAutospacing="1" w:after="100" w:afterAutospacing="1"/>
        <w:jc w:val="both"/>
        <w:rPr>
          <w:rFonts w:ascii="Arial" w:hAnsi="Arial" w:cs="Arial"/>
        </w:rPr>
      </w:pPr>
      <w:r w:rsidRPr="00FB6E9B">
        <w:rPr>
          <w:rFonts w:ascii="Arial" w:hAnsi="Arial" w:cs="Arial"/>
        </w:rPr>
        <w:t>A caregiver</w:t>
      </w:r>
      <w:r w:rsidR="005717B4" w:rsidRPr="00FB6E9B">
        <w:rPr>
          <w:rFonts w:ascii="Arial" w:hAnsi="Arial" w:cs="Arial"/>
        </w:rPr>
        <w:t xml:space="preserve">, or </w:t>
      </w:r>
      <w:r w:rsidRPr="00FB6E9B">
        <w:rPr>
          <w:rFonts w:ascii="Arial" w:hAnsi="Arial" w:cs="Arial"/>
        </w:rPr>
        <w:t xml:space="preserve">relatives of orphans taking care of orphaned children </w:t>
      </w:r>
      <w:r w:rsidR="005717B4" w:rsidRPr="00FB6E9B">
        <w:rPr>
          <w:rFonts w:ascii="Arial" w:hAnsi="Arial" w:cs="Arial"/>
        </w:rPr>
        <w:t xml:space="preserve">can apply for the CSG Top Up; </w:t>
      </w:r>
    </w:p>
    <w:p w:rsidR="005717B4" w:rsidRPr="00FB6E9B" w:rsidRDefault="005F5A3E" w:rsidP="00554CFC">
      <w:pPr>
        <w:pStyle w:val="ListParagraph"/>
        <w:numPr>
          <w:ilvl w:val="0"/>
          <w:numId w:val="22"/>
        </w:numPr>
        <w:spacing w:before="100" w:beforeAutospacing="1" w:after="100" w:afterAutospacing="1"/>
        <w:jc w:val="both"/>
        <w:rPr>
          <w:rFonts w:ascii="Arial" w:hAnsi="Arial" w:cs="Arial"/>
        </w:rPr>
      </w:pPr>
      <w:r w:rsidRPr="00FB6E9B">
        <w:rPr>
          <w:rFonts w:ascii="Arial" w:hAnsi="Arial" w:cs="Arial"/>
        </w:rPr>
        <w:t>CSG Top up applicants are</w:t>
      </w:r>
      <w:r w:rsidR="005717B4" w:rsidRPr="00FB6E9B">
        <w:rPr>
          <w:rFonts w:ascii="Arial" w:hAnsi="Arial" w:cs="Arial"/>
        </w:rPr>
        <w:t xml:space="preserve"> subjected to the means test, where the applicant</w:t>
      </w:r>
      <w:r w:rsidR="0029233D" w:rsidRPr="00FB6E9B">
        <w:rPr>
          <w:rFonts w:ascii="Arial" w:hAnsi="Arial" w:cs="Arial"/>
        </w:rPr>
        <w:t>’s</w:t>
      </w:r>
      <w:r w:rsidR="005717B4" w:rsidRPr="00FB6E9B">
        <w:rPr>
          <w:rFonts w:ascii="Arial" w:hAnsi="Arial" w:cs="Arial"/>
        </w:rPr>
        <w:t xml:space="preserve"> income and /or his/her spouse is considered</w:t>
      </w:r>
      <w:r w:rsidR="0029233D" w:rsidRPr="00FB6E9B">
        <w:rPr>
          <w:rFonts w:ascii="Arial" w:hAnsi="Arial" w:cs="Arial"/>
        </w:rPr>
        <w:t>.</w:t>
      </w:r>
    </w:p>
    <w:p w:rsidR="0029233D" w:rsidRPr="00FB6E9B" w:rsidRDefault="0029233D" w:rsidP="00554CFC">
      <w:pPr>
        <w:spacing w:before="100" w:beforeAutospacing="1" w:after="100" w:afterAutospacing="1"/>
        <w:jc w:val="both"/>
        <w:rPr>
          <w:rFonts w:ascii="Arial" w:hAnsi="Arial" w:cs="Arial"/>
        </w:rPr>
      </w:pPr>
      <w:r w:rsidRPr="00FB6E9B">
        <w:rPr>
          <w:rFonts w:ascii="Arial" w:hAnsi="Arial" w:cs="Arial"/>
        </w:rPr>
        <w:t>The following requirements need to be adhered to in order to qualify for a CSG top up:</w:t>
      </w:r>
    </w:p>
    <w:p w:rsidR="0029233D" w:rsidRPr="00FB6E9B" w:rsidRDefault="0029233D" w:rsidP="00554CFC">
      <w:pPr>
        <w:pStyle w:val="ListParagraph"/>
        <w:numPr>
          <w:ilvl w:val="0"/>
          <w:numId w:val="19"/>
        </w:numPr>
        <w:spacing w:before="100" w:beforeAutospacing="1" w:after="100" w:afterAutospacing="1"/>
        <w:jc w:val="both"/>
        <w:rPr>
          <w:rFonts w:ascii="Arial" w:hAnsi="Arial" w:cs="Arial"/>
        </w:rPr>
      </w:pPr>
      <w:r w:rsidRPr="00FB6E9B">
        <w:rPr>
          <w:rFonts w:ascii="Arial" w:hAnsi="Arial" w:cs="Arial"/>
        </w:rPr>
        <w:t>Relatives will need to provide proof that they are related to the child by attesting to their relation to the child.</w:t>
      </w:r>
    </w:p>
    <w:p w:rsidR="0029233D" w:rsidRPr="00FB6E9B" w:rsidRDefault="006127F0" w:rsidP="00554CFC">
      <w:pPr>
        <w:pStyle w:val="ListParagraph"/>
        <w:numPr>
          <w:ilvl w:val="0"/>
          <w:numId w:val="19"/>
        </w:numPr>
        <w:spacing w:before="100" w:beforeAutospacing="1" w:after="100" w:afterAutospacing="1"/>
        <w:jc w:val="both"/>
        <w:rPr>
          <w:rFonts w:ascii="Arial" w:hAnsi="Arial" w:cs="Arial"/>
        </w:rPr>
      </w:pPr>
      <w:r w:rsidRPr="00FB6E9B">
        <w:rPr>
          <w:rFonts w:ascii="Arial" w:hAnsi="Arial" w:cs="Arial"/>
        </w:rPr>
        <w:t>Applicants</w:t>
      </w:r>
      <w:r w:rsidR="0029233D" w:rsidRPr="00FB6E9B">
        <w:rPr>
          <w:rFonts w:ascii="Arial" w:hAnsi="Arial" w:cs="Arial"/>
        </w:rPr>
        <w:t xml:space="preserve"> need to provide proof that the child is an orphan by producing:</w:t>
      </w:r>
    </w:p>
    <w:p w:rsidR="0029233D" w:rsidRPr="00FB6E9B" w:rsidRDefault="00821B38" w:rsidP="00554CFC">
      <w:pPr>
        <w:pStyle w:val="ListParagraph"/>
        <w:numPr>
          <w:ilvl w:val="1"/>
          <w:numId w:val="19"/>
        </w:numPr>
        <w:spacing w:before="100" w:beforeAutospacing="1" w:after="100" w:afterAutospacing="1"/>
        <w:jc w:val="both"/>
        <w:rPr>
          <w:rFonts w:ascii="Arial" w:hAnsi="Arial" w:cs="Arial"/>
        </w:rPr>
      </w:pPr>
      <w:r w:rsidRPr="00FB6E9B">
        <w:rPr>
          <w:rFonts w:ascii="Arial" w:hAnsi="Arial" w:cs="Arial"/>
        </w:rPr>
        <w:t>A d</w:t>
      </w:r>
      <w:r w:rsidR="0029233D" w:rsidRPr="00FB6E9B">
        <w:rPr>
          <w:rFonts w:ascii="Arial" w:hAnsi="Arial" w:cs="Arial"/>
        </w:rPr>
        <w:t>eath certificate</w:t>
      </w:r>
      <w:r w:rsidRPr="00FB6E9B">
        <w:rPr>
          <w:rFonts w:ascii="Arial" w:hAnsi="Arial" w:cs="Arial"/>
        </w:rPr>
        <w:t>/</w:t>
      </w:r>
      <w:r w:rsidR="0029233D" w:rsidRPr="00FB6E9B">
        <w:rPr>
          <w:rFonts w:ascii="Arial" w:hAnsi="Arial" w:cs="Arial"/>
        </w:rPr>
        <w:t>s of the child’s parents</w:t>
      </w:r>
      <w:r w:rsidR="006127F0" w:rsidRPr="00FB6E9B">
        <w:rPr>
          <w:rFonts w:ascii="Arial" w:hAnsi="Arial" w:cs="Arial"/>
        </w:rPr>
        <w:t xml:space="preserve"> or</w:t>
      </w:r>
      <w:r w:rsidR="0029233D" w:rsidRPr="00FB6E9B">
        <w:rPr>
          <w:rFonts w:ascii="Arial" w:hAnsi="Arial" w:cs="Arial"/>
        </w:rPr>
        <w:t xml:space="preserve"> </w:t>
      </w:r>
    </w:p>
    <w:p w:rsidR="005717B4" w:rsidRPr="00FB6E9B" w:rsidRDefault="00821B38" w:rsidP="00554CFC">
      <w:pPr>
        <w:pStyle w:val="ListParagraph"/>
        <w:numPr>
          <w:ilvl w:val="1"/>
          <w:numId w:val="19"/>
        </w:numPr>
        <w:spacing w:before="100" w:beforeAutospacing="1" w:after="100" w:afterAutospacing="1"/>
        <w:jc w:val="both"/>
        <w:rPr>
          <w:rFonts w:ascii="Arial" w:hAnsi="Arial" w:cs="Arial"/>
        </w:rPr>
      </w:pPr>
      <w:r w:rsidRPr="00FB6E9B">
        <w:rPr>
          <w:rFonts w:ascii="Arial" w:hAnsi="Arial" w:cs="Arial"/>
        </w:rPr>
        <w:t>A</w:t>
      </w:r>
      <w:r w:rsidR="0029233D" w:rsidRPr="00FB6E9B">
        <w:rPr>
          <w:rFonts w:ascii="Arial" w:hAnsi="Arial" w:cs="Arial"/>
        </w:rPr>
        <w:t xml:space="preserve">n affidavit attesting to their lack of knowledge as to whether the </w:t>
      </w:r>
      <w:r w:rsidR="006127F0" w:rsidRPr="00FB6E9B">
        <w:rPr>
          <w:rFonts w:ascii="Arial" w:hAnsi="Arial" w:cs="Arial"/>
        </w:rPr>
        <w:t xml:space="preserve">child’s </w:t>
      </w:r>
      <w:r w:rsidR="0029233D" w:rsidRPr="00FB6E9B">
        <w:rPr>
          <w:rFonts w:ascii="Arial" w:hAnsi="Arial" w:cs="Arial"/>
        </w:rPr>
        <w:t>parent is dead or alive.</w:t>
      </w:r>
    </w:p>
    <w:p w:rsidR="00C54A02" w:rsidRPr="00FB6E9B" w:rsidRDefault="00C54A02" w:rsidP="00DA4793">
      <w:pPr>
        <w:spacing w:before="100" w:beforeAutospacing="1" w:after="100" w:afterAutospacing="1"/>
        <w:jc w:val="both"/>
        <w:rPr>
          <w:rFonts w:ascii="Arial" w:hAnsi="Arial" w:cs="Arial"/>
        </w:rPr>
      </w:pPr>
      <w:r w:rsidRPr="00FB6E9B">
        <w:rPr>
          <w:rFonts w:ascii="Arial" w:hAnsi="Arial" w:cs="Arial"/>
        </w:rPr>
        <w:t>(c)</w:t>
      </w:r>
      <w:r w:rsidRPr="00FB6E9B">
        <w:rPr>
          <w:rFonts w:ascii="Arial" w:hAnsi="Arial" w:cs="Arial"/>
        </w:rPr>
        <w:tab/>
        <w:t>The CSG top up is set at the level of 50% of the Child Support Grant (CSG), and government will try to maintain it at this level. Thus when it is implemented in June 2022, the value of the CSG will be R480, the top up will be R240, bringing the total value of the CSG with the top up to R720.</w:t>
      </w:r>
    </w:p>
    <w:p w:rsidR="00C54A02" w:rsidRPr="00FB6E9B" w:rsidRDefault="00C54A02" w:rsidP="00DA4793">
      <w:pPr>
        <w:spacing w:before="100" w:beforeAutospacing="1" w:after="100" w:afterAutospacing="1"/>
        <w:jc w:val="both"/>
        <w:rPr>
          <w:rFonts w:ascii="Arial" w:hAnsi="Arial" w:cs="Arial"/>
        </w:rPr>
      </w:pPr>
      <w:r w:rsidRPr="00FB6E9B">
        <w:rPr>
          <w:rFonts w:ascii="Arial" w:hAnsi="Arial" w:cs="Arial"/>
        </w:rPr>
        <w:t>(d)</w:t>
      </w:r>
      <w:r w:rsidRPr="00FB6E9B">
        <w:rPr>
          <w:rFonts w:ascii="Arial" w:hAnsi="Arial" w:cs="Arial"/>
        </w:rPr>
        <w:tab/>
        <w:t>Due to delays with the translation of the regulations, it is expected that the regulations will only be published in June 2022. Potential beneficiaries will need to apply for the grant, and will be paid the top-up together with their CSG (as one payment)</w:t>
      </w:r>
      <w:r w:rsidR="007D3DCD" w:rsidRPr="00FB6E9B">
        <w:rPr>
          <w:rFonts w:ascii="Arial" w:hAnsi="Arial" w:cs="Arial"/>
        </w:rPr>
        <w:t>.</w:t>
      </w:r>
    </w:p>
    <w:p w:rsidR="005F4F81" w:rsidRPr="00FB6E9B" w:rsidRDefault="007D3DCD" w:rsidP="005F4F81">
      <w:pPr>
        <w:spacing w:before="100" w:beforeAutospacing="1" w:after="100" w:afterAutospacing="1"/>
        <w:jc w:val="both"/>
        <w:rPr>
          <w:rFonts w:ascii="Arial" w:hAnsi="Arial" w:cs="Arial"/>
        </w:rPr>
      </w:pPr>
      <w:r w:rsidRPr="00FB6E9B">
        <w:rPr>
          <w:rFonts w:ascii="Arial" w:hAnsi="Arial" w:cs="Arial"/>
        </w:rPr>
        <w:t xml:space="preserve">(e) </w:t>
      </w:r>
      <w:r w:rsidR="005F4F81" w:rsidRPr="00FB6E9B">
        <w:rPr>
          <w:rFonts w:ascii="Arial" w:hAnsi="Arial" w:cs="Arial"/>
        </w:rPr>
        <w:t>The projected expenditure for CSG top up for 2022/23 financial year is R550.66million</w:t>
      </w:r>
      <w:r w:rsidR="00554CFC" w:rsidRPr="00FB6E9B">
        <w:rPr>
          <w:rFonts w:ascii="Arial" w:hAnsi="Arial" w:cs="Arial"/>
        </w:rPr>
        <w:t>, however will be lower due to delayed implementation</w:t>
      </w:r>
      <w:r w:rsidR="005F4F81" w:rsidRPr="00FB6E9B">
        <w:rPr>
          <w:rFonts w:ascii="Arial" w:hAnsi="Arial" w:cs="Arial"/>
        </w:rPr>
        <w:t>.</w:t>
      </w:r>
    </w:p>
    <w:p w:rsidR="00836B12" w:rsidRPr="00FB6E9B" w:rsidRDefault="007D3DCD" w:rsidP="00554CFC">
      <w:pPr>
        <w:spacing w:before="100" w:beforeAutospacing="1" w:after="100" w:afterAutospacing="1"/>
        <w:jc w:val="both"/>
        <w:rPr>
          <w:rFonts w:ascii="Arial" w:hAnsi="Arial" w:cs="Arial"/>
        </w:rPr>
      </w:pPr>
      <w:r w:rsidRPr="00FB6E9B">
        <w:rPr>
          <w:rFonts w:ascii="Arial" w:hAnsi="Arial" w:cs="Arial"/>
        </w:rPr>
        <w:t>(2)</w:t>
      </w:r>
      <w:r w:rsidRPr="00FB6E9B">
        <w:rPr>
          <w:rFonts w:ascii="Arial" w:hAnsi="Arial" w:cs="Arial"/>
        </w:rPr>
        <w:tab/>
      </w:r>
      <w:r w:rsidR="00CF2010" w:rsidRPr="00FB6E9B">
        <w:rPr>
          <w:rFonts w:ascii="Arial" w:hAnsi="Arial" w:cs="Arial"/>
        </w:rPr>
        <w:t xml:space="preserve">In June 2022, when the regulations are published applications will be taken manually at SASSA local offices. Later during the course of the year the online application system will be amended to accommodate the CSG Top-Up grant. </w:t>
      </w:r>
    </w:p>
    <w:p w:rsidR="007D3DCD" w:rsidRPr="00FB6E9B" w:rsidRDefault="007D3DCD" w:rsidP="00DA4793">
      <w:pPr>
        <w:spacing w:before="100" w:beforeAutospacing="1" w:after="100" w:afterAutospacing="1"/>
        <w:jc w:val="both"/>
        <w:rPr>
          <w:rFonts w:ascii="Arial" w:hAnsi="Arial" w:cs="Arial"/>
        </w:rPr>
      </w:pPr>
      <w:r w:rsidRPr="00FB6E9B">
        <w:rPr>
          <w:rFonts w:ascii="Arial" w:hAnsi="Arial" w:cs="Arial"/>
        </w:rPr>
        <w:t>(3)</w:t>
      </w:r>
      <w:r w:rsidRPr="00FB6E9B">
        <w:rPr>
          <w:rFonts w:ascii="Arial" w:hAnsi="Arial" w:cs="Arial"/>
        </w:rPr>
        <w:tab/>
        <w:t xml:space="preserve">The CSG top up is not a </w:t>
      </w:r>
      <w:r w:rsidR="00CF2010" w:rsidRPr="00FB6E9B">
        <w:rPr>
          <w:rFonts w:ascii="Arial" w:hAnsi="Arial" w:cs="Arial"/>
        </w:rPr>
        <w:t>standalone</w:t>
      </w:r>
      <w:r w:rsidRPr="00FB6E9B">
        <w:rPr>
          <w:rFonts w:ascii="Arial" w:hAnsi="Arial" w:cs="Arial"/>
        </w:rPr>
        <w:t xml:space="preserve"> grant, but an additional amount payable over and above the CSG; similar to the top up provided on the Older Persons Grant for those over 75. Once legislated it will be a permanent benefit, provided that beneficiaries meet the qualifying criteria for the CSG and those for the additional CSG top up.</w:t>
      </w:r>
    </w:p>
    <w:p w:rsidR="00B22B16" w:rsidRPr="00FB6E9B" w:rsidRDefault="009B6F51" w:rsidP="00DA4793">
      <w:pPr>
        <w:spacing w:before="100" w:beforeAutospacing="1" w:after="100" w:afterAutospacing="1"/>
        <w:jc w:val="both"/>
        <w:rPr>
          <w:rFonts w:ascii="Arial" w:hAnsi="Arial" w:cs="Arial"/>
        </w:rPr>
      </w:pPr>
      <w:r w:rsidRPr="00FB6E9B">
        <w:rPr>
          <w:rFonts w:ascii="Arial" w:hAnsi="Arial" w:cs="Arial"/>
        </w:rPr>
        <w:t>(4)</w:t>
      </w:r>
      <w:r w:rsidRPr="00FB6E9B">
        <w:rPr>
          <w:rFonts w:ascii="Arial" w:hAnsi="Arial" w:cs="Arial"/>
        </w:rPr>
        <w:tab/>
        <w:t>The CSG top up has not yet been implemented, thus it has not yet been evaluated. (a) However, we do know that the CSG has significant positive developmental impacts on the lives of children</w:t>
      </w:r>
      <w:r w:rsidR="00CF2010" w:rsidRPr="00FB6E9B">
        <w:rPr>
          <w:rFonts w:ascii="Arial" w:hAnsi="Arial" w:cs="Arial"/>
        </w:rPr>
        <w:t>. T</w:t>
      </w:r>
      <w:r w:rsidRPr="00FB6E9B">
        <w:rPr>
          <w:rFonts w:ascii="Arial" w:hAnsi="Arial" w:cs="Arial"/>
        </w:rPr>
        <w:t>hese benefits relate to the increased income in households that receive grants; it is thus expected that this increase in the value of the CSG (through the top up) will increase those benefits. (b) Attached find a copy of the Child Support Grant impact evaluation study conducted by the department.</w:t>
      </w:r>
    </w:p>
    <w:p w:rsidR="00554CFC" w:rsidRPr="00FB6E9B" w:rsidRDefault="00554CFC" w:rsidP="00CF630D">
      <w:pPr>
        <w:spacing w:after="0" w:line="240" w:lineRule="auto"/>
        <w:jc w:val="both"/>
        <w:rPr>
          <w:rFonts w:ascii="Arial" w:eastAsia="Times New Roman" w:hAnsi="Arial" w:cs="Arial"/>
          <w:b/>
          <w:snapToGrid w:val="0"/>
          <w:color w:val="000000"/>
        </w:rPr>
      </w:pPr>
      <w:bookmarkStart w:id="1" w:name="_Hlk88819804"/>
    </w:p>
    <w:p w:rsidR="00554CFC" w:rsidRPr="00FB6E9B" w:rsidRDefault="00554CFC" w:rsidP="00CF630D">
      <w:pPr>
        <w:spacing w:after="0" w:line="240" w:lineRule="auto"/>
        <w:jc w:val="both"/>
        <w:rPr>
          <w:rFonts w:ascii="Arial" w:eastAsia="Times New Roman" w:hAnsi="Arial" w:cs="Arial"/>
          <w:b/>
          <w:snapToGrid w:val="0"/>
          <w:color w:val="000000"/>
        </w:rPr>
      </w:pPr>
    </w:p>
    <w:p w:rsidR="00554CFC" w:rsidRPr="00FB6E9B" w:rsidRDefault="00554CFC" w:rsidP="00CF630D">
      <w:pPr>
        <w:spacing w:after="0" w:line="240" w:lineRule="auto"/>
        <w:jc w:val="both"/>
        <w:rPr>
          <w:rFonts w:ascii="Arial" w:eastAsia="Times New Roman" w:hAnsi="Arial" w:cs="Arial"/>
          <w:b/>
          <w:snapToGrid w:val="0"/>
          <w:color w:val="000000"/>
        </w:rPr>
      </w:pPr>
    </w:p>
    <w:p w:rsidR="00554CFC" w:rsidRPr="00FB6E9B" w:rsidRDefault="00554CFC" w:rsidP="00CF630D">
      <w:pPr>
        <w:spacing w:after="0" w:line="240" w:lineRule="auto"/>
        <w:jc w:val="both"/>
        <w:rPr>
          <w:rFonts w:ascii="Arial" w:eastAsia="Times New Roman" w:hAnsi="Arial" w:cs="Arial"/>
          <w:b/>
          <w:snapToGrid w:val="0"/>
          <w:color w:val="000000"/>
        </w:rPr>
      </w:pPr>
    </w:p>
    <w:p w:rsidR="00554CFC" w:rsidRPr="00FB6E9B" w:rsidRDefault="00554CFC" w:rsidP="00CF630D">
      <w:pPr>
        <w:spacing w:after="0" w:line="240" w:lineRule="auto"/>
        <w:jc w:val="both"/>
        <w:rPr>
          <w:rFonts w:ascii="Arial" w:eastAsia="Times New Roman" w:hAnsi="Arial" w:cs="Arial"/>
          <w:b/>
          <w:snapToGrid w:val="0"/>
          <w:color w:val="000000"/>
        </w:rPr>
      </w:pPr>
    </w:p>
    <w:p w:rsidR="00554CFC" w:rsidRPr="00FB6E9B" w:rsidRDefault="00554CFC" w:rsidP="00CF630D">
      <w:pPr>
        <w:spacing w:after="0" w:line="240" w:lineRule="auto"/>
        <w:jc w:val="both"/>
        <w:rPr>
          <w:rFonts w:ascii="Arial" w:eastAsia="Times New Roman" w:hAnsi="Arial" w:cs="Arial"/>
          <w:b/>
          <w:snapToGrid w:val="0"/>
          <w:color w:val="000000"/>
        </w:rPr>
      </w:pPr>
    </w:p>
    <w:p w:rsidR="00554CFC" w:rsidRPr="00FB6E9B" w:rsidRDefault="00554CFC" w:rsidP="00CF630D">
      <w:pPr>
        <w:spacing w:after="0" w:line="240" w:lineRule="auto"/>
        <w:jc w:val="both"/>
        <w:rPr>
          <w:rFonts w:ascii="Arial" w:eastAsia="Times New Roman" w:hAnsi="Arial" w:cs="Arial"/>
          <w:b/>
          <w:snapToGrid w:val="0"/>
          <w:color w:val="000000"/>
        </w:rPr>
      </w:pPr>
    </w:p>
    <w:p w:rsidR="00554CFC" w:rsidRPr="00FB6E9B" w:rsidRDefault="00554CFC" w:rsidP="00CF630D">
      <w:pPr>
        <w:spacing w:after="0" w:line="240" w:lineRule="auto"/>
        <w:jc w:val="both"/>
        <w:rPr>
          <w:rFonts w:ascii="Arial" w:eastAsia="Times New Roman" w:hAnsi="Arial" w:cs="Arial"/>
          <w:b/>
          <w:snapToGrid w:val="0"/>
          <w:color w:val="000000"/>
        </w:rPr>
      </w:pPr>
    </w:p>
    <w:bookmarkEnd w:id="1"/>
    <w:p w:rsidR="00F04ECE" w:rsidRPr="00FB6E9B" w:rsidRDefault="00F04ECE" w:rsidP="00FB4659">
      <w:pPr>
        <w:spacing w:after="0" w:line="240" w:lineRule="auto"/>
        <w:jc w:val="both"/>
        <w:rPr>
          <w:rFonts w:ascii="Arial" w:eastAsia="Times New Roman" w:hAnsi="Arial" w:cs="Arial"/>
          <w:b/>
          <w:snapToGrid w:val="0"/>
          <w:color w:val="000000"/>
          <w:lang w:val="en-GB"/>
        </w:rPr>
      </w:pPr>
    </w:p>
    <w:sectPr w:rsidR="00F04ECE" w:rsidRPr="00FB6E9B" w:rsidSect="005962A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7C" w:rsidRDefault="0025367C">
      <w:pPr>
        <w:spacing w:after="0" w:line="240" w:lineRule="auto"/>
      </w:pPr>
      <w:r>
        <w:separator/>
      </w:r>
    </w:p>
  </w:endnote>
  <w:endnote w:type="continuationSeparator" w:id="0">
    <w:p w:rsidR="0025367C" w:rsidRDefault="00253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5962A3">
        <w:pPr>
          <w:pStyle w:val="Footer"/>
          <w:jc w:val="right"/>
        </w:pPr>
        <w:r>
          <w:fldChar w:fldCharType="begin"/>
        </w:r>
        <w:r w:rsidR="00DA4793">
          <w:instrText xml:space="preserve"> PAGE   \* MERGEFORMAT </w:instrText>
        </w:r>
        <w:r>
          <w:fldChar w:fldCharType="separate"/>
        </w:r>
        <w:r w:rsidR="0025367C">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7C" w:rsidRDefault="0025367C">
      <w:pPr>
        <w:spacing w:after="0" w:line="240" w:lineRule="auto"/>
      </w:pPr>
      <w:r>
        <w:separator/>
      </w:r>
    </w:p>
  </w:footnote>
  <w:footnote w:type="continuationSeparator" w:id="0">
    <w:p w:rsidR="0025367C" w:rsidRDefault="002536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A95CAE"/>
    <w:multiLevelType w:val="hybridMultilevel"/>
    <w:tmpl w:val="8E6C3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DB4BFE"/>
    <w:multiLevelType w:val="hybridMultilevel"/>
    <w:tmpl w:val="249AA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13AC6"/>
    <w:multiLevelType w:val="hybridMultilevel"/>
    <w:tmpl w:val="FFEA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6918F2"/>
    <w:multiLevelType w:val="hybridMultilevel"/>
    <w:tmpl w:val="5D46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3">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7BE606A4"/>
    <w:multiLevelType w:val="hybridMultilevel"/>
    <w:tmpl w:val="C2CA3942"/>
    <w:lvl w:ilvl="0" w:tplc="12209C9E">
      <w:start w:val="1"/>
      <w:numFmt w:val="bullet"/>
      <w:lvlText w:val="–"/>
      <w:lvlJc w:val="left"/>
      <w:pPr>
        <w:tabs>
          <w:tab w:val="num" w:pos="720"/>
        </w:tabs>
        <w:ind w:left="720" w:hanging="360"/>
      </w:pPr>
      <w:rPr>
        <w:rFonts w:ascii="Arial" w:hAnsi="Arial" w:hint="default"/>
      </w:rPr>
    </w:lvl>
    <w:lvl w:ilvl="1" w:tplc="DB8633FA">
      <w:start w:val="1"/>
      <w:numFmt w:val="bullet"/>
      <w:lvlText w:val="–"/>
      <w:lvlJc w:val="left"/>
      <w:pPr>
        <w:tabs>
          <w:tab w:val="num" w:pos="1440"/>
        </w:tabs>
        <w:ind w:left="1440" w:hanging="360"/>
      </w:pPr>
      <w:rPr>
        <w:rFonts w:ascii="Arial" w:hAnsi="Arial" w:hint="default"/>
      </w:rPr>
    </w:lvl>
    <w:lvl w:ilvl="2" w:tplc="7AC2E982" w:tentative="1">
      <w:start w:val="1"/>
      <w:numFmt w:val="bullet"/>
      <w:lvlText w:val="–"/>
      <w:lvlJc w:val="left"/>
      <w:pPr>
        <w:tabs>
          <w:tab w:val="num" w:pos="2160"/>
        </w:tabs>
        <w:ind w:left="2160" w:hanging="360"/>
      </w:pPr>
      <w:rPr>
        <w:rFonts w:ascii="Arial" w:hAnsi="Arial" w:hint="default"/>
      </w:rPr>
    </w:lvl>
    <w:lvl w:ilvl="3" w:tplc="DBA25950" w:tentative="1">
      <w:start w:val="1"/>
      <w:numFmt w:val="bullet"/>
      <w:lvlText w:val="–"/>
      <w:lvlJc w:val="left"/>
      <w:pPr>
        <w:tabs>
          <w:tab w:val="num" w:pos="2880"/>
        </w:tabs>
        <w:ind w:left="2880" w:hanging="360"/>
      </w:pPr>
      <w:rPr>
        <w:rFonts w:ascii="Arial" w:hAnsi="Arial" w:hint="default"/>
      </w:rPr>
    </w:lvl>
    <w:lvl w:ilvl="4" w:tplc="ABD20758" w:tentative="1">
      <w:start w:val="1"/>
      <w:numFmt w:val="bullet"/>
      <w:lvlText w:val="–"/>
      <w:lvlJc w:val="left"/>
      <w:pPr>
        <w:tabs>
          <w:tab w:val="num" w:pos="3600"/>
        </w:tabs>
        <w:ind w:left="3600" w:hanging="360"/>
      </w:pPr>
      <w:rPr>
        <w:rFonts w:ascii="Arial" w:hAnsi="Arial" w:hint="default"/>
      </w:rPr>
    </w:lvl>
    <w:lvl w:ilvl="5" w:tplc="FA00964E" w:tentative="1">
      <w:start w:val="1"/>
      <w:numFmt w:val="bullet"/>
      <w:lvlText w:val="–"/>
      <w:lvlJc w:val="left"/>
      <w:pPr>
        <w:tabs>
          <w:tab w:val="num" w:pos="4320"/>
        </w:tabs>
        <w:ind w:left="4320" w:hanging="360"/>
      </w:pPr>
      <w:rPr>
        <w:rFonts w:ascii="Arial" w:hAnsi="Arial" w:hint="default"/>
      </w:rPr>
    </w:lvl>
    <w:lvl w:ilvl="6" w:tplc="9290050E" w:tentative="1">
      <w:start w:val="1"/>
      <w:numFmt w:val="bullet"/>
      <w:lvlText w:val="–"/>
      <w:lvlJc w:val="left"/>
      <w:pPr>
        <w:tabs>
          <w:tab w:val="num" w:pos="5040"/>
        </w:tabs>
        <w:ind w:left="5040" w:hanging="360"/>
      </w:pPr>
      <w:rPr>
        <w:rFonts w:ascii="Arial" w:hAnsi="Arial" w:hint="default"/>
      </w:rPr>
    </w:lvl>
    <w:lvl w:ilvl="7" w:tplc="5922C2E6" w:tentative="1">
      <w:start w:val="1"/>
      <w:numFmt w:val="bullet"/>
      <w:lvlText w:val="–"/>
      <w:lvlJc w:val="left"/>
      <w:pPr>
        <w:tabs>
          <w:tab w:val="num" w:pos="5760"/>
        </w:tabs>
        <w:ind w:left="5760" w:hanging="360"/>
      </w:pPr>
      <w:rPr>
        <w:rFonts w:ascii="Arial" w:hAnsi="Arial" w:hint="default"/>
      </w:rPr>
    </w:lvl>
    <w:lvl w:ilvl="8" w:tplc="912E1A1C" w:tentative="1">
      <w:start w:val="1"/>
      <w:numFmt w:val="bullet"/>
      <w:lvlText w:val="–"/>
      <w:lvlJc w:val="left"/>
      <w:pPr>
        <w:tabs>
          <w:tab w:val="num" w:pos="6480"/>
        </w:tabs>
        <w:ind w:left="6480" w:hanging="360"/>
      </w:pPr>
      <w:rPr>
        <w:rFonts w:ascii="Arial" w:hAnsi="Arial" w:hint="default"/>
      </w:rPr>
    </w:lvl>
  </w:abstractNum>
  <w:abstractNum w:abstractNumId="2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0"/>
  </w:num>
  <w:num w:numId="4">
    <w:abstractNumId w:val="3"/>
  </w:num>
  <w:num w:numId="5">
    <w:abstractNumId w:val="15"/>
  </w:num>
  <w:num w:numId="6">
    <w:abstractNumId w:val="6"/>
  </w:num>
  <w:num w:numId="7">
    <w:abstractNumId w:val="12"/>
  </w:num>
  <w:num w:numId="8">
    <w:abstractNumId w:val="8"/>
  </w:num>
  <w:num w:numId="9">
    <w:abstractNumId w:val="11"/>
  </w:num>
  <w:num w:numId="10">
    <w:abstractNumId w:val="7"/>
  </w:num>
  <w:num w:numId="11">
    <w:abstractNumId w:val="9"/>
  </w:num>
  <w:num w:numId="12">
    <w:abstractNumId w:val="18"/>
  </w:num>
  <w:num w:numId="13">
    <w:abstractNumId w:val="13"/>
  </w:num>
  <w:num w:numId="14">
    <w:abstractNumId w:val="10"/>
  </w:num>
  <w:num w:numId="15">
    <w:abstractNumId w:val="17"/>
  </w:num>
  <w:num w:numId="16">
    <w:abstractNumId w:val="16"/>
  </w:num>
  <w:num w:numId="17">
    <w:abstractNumId w:val="2"/>
  </w:num>
  <w:num w:numId="18">
    <w:abstractNumId w:val="2"/>
  </w:num>
  <w:num w:numId="19">
    <w:abstractNumId w:val="1"/>
  </w:num>
  <w:num w:numId="20">
    <w:abstractNumId w:val="19"/>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225"/>
    <w:rsid w:val="00106780"/>
    <w:rsid w:val="00112973"/>
    <w:rsid w:val="0011699F"/>
    <w:rsid w:val="00123D9A"/>
    <w:rsid w:val="0012418C"/>
    <w:rsid w:val="00131148"/>
    <w:rsid w:val="00132534"/>
    <w:rsid w:val="00136AE7"/>
    <w:rsid w:val="001414BF"/>
    <w:rsid w:val="00144A54"/>
    <w:rsid w:val="00157C96"/>
    <w:rsid w:val="001713D1"/>
    <w:rsid w:val="00173BDA"/>
    <w:rsid w:val="001745C4"/>
    <w:rsid w:val="00174A02"/>
    <w:rsid w:val="0017591B"/>
    <w:rsid w:val="001808E1"/>
    <w:rsid w:val="00183FED"/>
    <w:rsid w:val="0019267C"/>
    <w:rsid w:val="00193716"/>
    <w:rsid w:val="00193B0E"/>
    <w:rsid w:val="001940D1"/>
    <w:rsid w:val="00196752"/>
    <w:rsid w:val="001973D3"/>
    <w:rsid w:val="001B0AFA"/>
    <w:rsid w:val="001B547F"/>
    <w:rsid w:val="001B636D"/>
    <w:rsid w:val="001B7935"/>
    <w:rsid w:val="001B7CA0"/>
    <w:rsid w:val="001B7CEF"/>
    <w:rsid w:val="001C04B5"/>
    <w:rsid w:val="001C0739"/>
    <w:rsid w:val="001C5424"/>
    <w:rsid w:val="001C79BF"/>
    <w:rsid w:val="001D059F"/>
    <w:rsid w:val="001D0750"/>
    <w:rsid w:val="001D0BEC"/>
    <w:rsid w:val="001D3C87"/>
    <w:rsid w:val="001E1487"/>
    <w:rsid w:val="001E22C5"/>
    <w:rsid w:val="001E322B"/>
    <w:rsid w:val="001E391F"/>
    <w:rsid w:val="001F1C3B"/>
    <w:rsid w:val="00205109"/>
    <w:rsid w:val="002052D4"/>
    <w:rsid w:val="00207160"/>
    <w:rsid w:val="00214E66"/>
    <w:rsid w:val="00224843"/>
    <w:rsid w:val="00232C7D"/>
    <w:rsid w:val="002346B4"/>
    <w:rsid w:val="002420E3"/>
    <w:rsid w:val="0024771A"/>
    <w:rsid w:val="0025367C"/>
    <w:rsid w:val="00253C36"/>
    <w:rsid w:val="002559B6"/>
    <w:rsid w:val="00256C55"/>
    <w:rsid w:val="00262858"/>
    <w:rsid w:val="00264E4F"/>
    <w:rsid w:val="00270B32"/>
    <w:rsid w:val="00270F3D"/>
    <w:rsid w:val="002738BB"/>
    <w:rsid w:val="002810E9"/>
    <w:rsid w:val="00281672"/>
    <w:rsid w:val="0029233D"/>
    <w:rsid w:val="002932D5"/>
    <w:rsid w:val="00293A2B"/>
    <w:rsid w:val="002A66E4"/>
    <w:rsid w:val="002B1DA6"/>
    <w:rsid w:val="002B3395"/>
    <w:rsid w:val="002B387B"/>
    <w:rsid w:val="002B5B12"/>
    <w:rsid w:val="002B5DEF"/>
    <w:rsid w:val="002B63D8"/>
    <w:rsid w:val="002B6874"/>
    <w:rsid w:val="002B7F4E"/>
    <w:rsid w:val="002D4C7A"/>
    <w:rsid w:val="002E6124"/>
    <w:rsid w:val="002E7AA7"/>
    <w:rsid w:val="002F0131"/>
    <w:rsid w:val="002F04B7"/>
    <w:rsid w:val="002F17AE"/>
    <w:rsid w:val="002F1B57"/>
    <w:rsid w:val="003055D8"/>
    <w:rsid w:val="00306CD5"/>
    <w:rsid w:val="00310F71"/>
    <w:rsid w:val="00314EB9"/>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0935"/>
    <w:rsid w:val="003C16FC"/>
    <w:rsid w:val="003C2393"/>
    <w:rsid w:val="003C2FF2"/>
    <w:rsid w:val="003C4309"/>
    <w:rsid w:val="003C44B1"/>
    <w:rsid w:val="003D6032"/>
    <w:rsid w:val="003E2446"/>
    <w:rsid w:val="003F023C"/>
    <w:rsid w:val="003F157F"/>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3854"/>
    <w:rsid w:val="004D56FC"/>
    <w:rsid w:val="004E0A72"/>
    <w:rsid w:val="004E33EB"/>
    <w:rsid w:val="004E7C2C"/>
    <w:rsid w:val="004F5481"/>
    <w:rsid w:val="004F58F7"/>
    <w:rsid w:val="004F736D"/>
    <w:rsid w:val="00501A17"/>
    <w:rsid w:val="0050367D"/>
    <w:rsid w:val="00505A71"/>
    <w:rsid w:val="00506466"/>
    <w:rsid w:val="00514645"/>
    <w:rsid w:val="00515132"/>
    <w:rsid w:val="00525275"/>
    <w:rsid w:val="00526786"/>
    <w:rsid w:val="0053151F"/>
    <w:rsid w:val="0053181D"/>
    <w:rsid w:val="00531BEB"/>
    <w:rsid w:val="00537B1C"/>
    <w:rsid w:val="00537EFE"/>
    <w:rsid w:val="0054758F"/>
    <w:rsid w:val="00551EEA"/>
    <w:rsid w:val="00554CFC"/>
    <w:rsid w:val="00556689"/>
    <w:rsid w:val="00567C07"/>
    <w:rsid w:val="00567EA8"/>
    <w:rsid w:val="005717B4"/>
    <w:rsid w:val="00571987"/>
    <w:rsid w:val="00572AC9"/>
    <w:rsid w:val="00577FEC"/>
    <w:rsid w:val="005825E4"/>
    <w:rsid w:val="00584954"/>
    <w:rsid w:val="00586CCC"/>
    <w:rsid w:val="00592B9B"/>
    <w:rsid w:val="005962A3"/>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5F4F81"/>
    <w:rsid w:val="005F5A3E"/>
    <w:rsid w:val="006007ED"/>
    <w:rsid w:val="00602077"/>
    <w:rsid w:val="006043E8"/>
    <w:rsid w:val="006051BB"/>
    <w:rsid w:val="006127F0"/>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B9B"/>
    <w:rsid w:val="00682F8C"/>
    <w:rsid w:val="00685F7F"/>
    <w:rsid w:val="006867B0"/>
    <w:rsid w:val="006A4DB2"/>
    <w:rsid w:val="006B0E09"/>
    <w:rsid w:val="006C6488"/>
    <w:rsid w:val="006D024F"/>
    <w:rsid w:val="006D1DFA"/>
    <w:rsid w:val="006D6338"/>
    <w:rsid w:val="006E4581"/>
    <w:rsid w:val="006E5299"/>
    <w:rsid w:val="006E5C58"/>
    <w:rsid w:val="006E62F1"/>
    <w:rsid w:val="006F0EB0"/>
    <w:rsid w:val="006F1316"/>
    <w:rsid w:val="006F361C"/>
    <w:rsid w:val="006F3E48"/>
    <w:rsid w:val="006F407C"/>
    <w:rsid w:val="006F6F8E"/>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449C"/>
    <w:rsid w:val="007A53E1"/>
    <w:rsid w:val="007A7AE6"/>
    <w:rsid w:val="007A7E54"/>
    <w:rsid w:val="007B300B"/>
    <w:rsid w:val="007B659D"/>
    <w:rsid w:val="007C792C"/>
    <w:rsid w:val="007D0892"/>
    <w:rsid w:val="007D3DCD"/>
    <w:rsid w:val="007D6644"/>
    <w:rsid w:val="007D78D7"/>
    <w:rsid w:val="007E24D7"/>
    <w:rsid w:val="007E387C"/>
    <w:rsid w:val="007E4506"/>
    <w:rsid w:val="007E799B"/>
    <w:rsid w:val="007F4D7F"/>
    <w:rsid w:val="007F4E1A"/>
    <w:rsid w:val="007F7022"/>
    <w:rsid w:val="00801103"/>
    <w:rsid w:val="00803018"/>
    <w:rsid w:val="0080530C"/>
    <w:rsid w:val="008107F9"/>
    <w:rsid w:val="0081327A"/>
    <w:rsid w:val="00817F4B"/>
    <w:rsid w:val="00820BCE"/>
    <w:rsid w:val="00821B38"/>
    <w:rsid w:val="00823DF8"/>
    <w:rsid w:val="008305AC"/>
    <w:rsid w:val="00834E33"/>
    <w:rsid w:val="00836B12"/>
    <w:rsid w:val="00837E04"/>
    <w:rsid w:val="00843136"/>
    <w:rsid w:val="00850C63"/>
    <w:rsid w:val="00861672"/>
    <w:rsid w:val="008617BF"/>
    <w:rsid w:val="00870526"/>
    <w:rsid w:val="00870F43"/>
    <w:rsid w:val="00873A25"/>
    <w:rsid w:val="0087491C"/>
    <w:rsid w:val="0088698A"/>
    <w:rsid w:val="00886EF8"/>
    <w:rsid w:val="00892AE6"/>
    <w:rsid w:val="008A0BDC"/>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2DF9"/>
    <w:rsid w:val="00913103"/>
    <w:rsid w:val="00920B4A"/>
    <w:rsid w:val="00923C66"/>
    <w:rsid w:val="00925A2E"/>
    <w:rsid w:val="00926BB8"/>
    <w:rsid w:val="009311E4"/>
    <w:rsid w:val="0093221B"/>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B6F51"/>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5068C"/>
    <w:rsid w:val="00A52EF1"/>
    <w:rsid w:val="00A6429F"/>
    <w:rsid w:val="00A64E8E"/>
    <w:rsid w:val="00A65C30"/>
    <w:rsid w:val="00A73D6D"/>
    <w:rsid w:val="00A7417C"/>
    <w:rsid w:val="00A7719B"/>
    <w:rsid w:val="00A8600B"/>
    <w:rsid w:val="00A870F2"/>
    <w:rsid w:val="00A8760F"/>
    <w:rsid w:val="00A930EB"/>
    <w:rsid w:val="00A9378F"/>
    <w:rsid w:val="00A93D60"/>
    <w:rsid w:val="00A95335"/>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E4E36"/>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54A02"/>
    <w:rsid w:val="00C6342B"/>
    <w:rsid w:val="00C650E0"/>
    <w:rsid w:val="00C66339"/>
    <w:rsid w:val="00C71E9C"/>
    <w:rsid w:val="00C72B34"/>
    <w:rsid w:val="00C76B85"/>
    <w:rsid w:val="00C77DBC"/>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E6A06"/>
    <w:rsid w:val="00CF0607"/>
    <w:rsid w:val="00CF2010"/>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2E38"/>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0C03"/>
    <w:rsid w:val="00E940AE"/>
    <w:rsid w:val="00E94458"/>
    <w:rsid w:val="00E96AE2"/>
    <w:rsid w:val="00EA6980"/>
    <w:rsid w:val="00EB4117"/>
    <w:rsid w:val="00EB5541"/>
    <w:rsid w:val="00EC6895"/>
    <w:rsid w:val="00ED0BC0"/>
    <w:rsid w:val="00ED106D"/>
    <w:rsid w:val="00ED15E7"/>
    <w:rsid w:val="00ED2A70"/>
    <w:rsid w:val="00ED3CB3"/>
    <w:rsid w:val="00ED3D83"/>
    <w:rsid w:val="00ED7105"/>
    <w:rsid w:val="00EE021E"/>
    <w:rsid w:val="00EE0F4E"/>
    <w:rsid w:val="00EE1110"/>
    <w:rsid w:val="00EE40C8"/>
    <w:rsid w:val="00EE649F"/>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B6E9B"/>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6902362">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048802113">
      <w:bodyDiv w:val="1"/>
      <w:marLeft w:val="0"/>
      <w:marRight w:val="0"/>
      <w:marTop w:val="0"/>
      <w:marBottom w:val="0"/>
      <w:divBdr>
        <w:top w:val="none" w:sz="0" w:space="0" w:color="auto"/>
        <w:left w:val="none" w:sz="0" w:space="0" w:color="auto"/>
        <w:bottom w:val="none" w:sz="0" w:space="0" w:color="auto"/>
        <w:right w:val="none" w:sz="0" w:space="0" w:color="auto"/>
      </w:divBdr>
      <w:divsChild>
        <w:div w:id="1981299968">
          <w:marLeft w:val="1166"/>
          <w:marRight w:val="0"/>
          <w:marTop w:val="106"/>
          <w:marBottom w:val="0"/>
          <w:divBdr>
            <w:top w:val="none" w:sz="0" w:space="0" w:color="auto"/>
            <w:left w:val="none" w:sz="0" w:space="0" w:color="auto"/>
            <w:bottom w:val="none" w:sz="0" w:space="0" w:color="auto"/>
            <w:right w:val="none" w:sz="0" w:space="0" w:color="auto"/>
          </w:divBdr>
        </w:div>
        <w:div w:id="2037265590">
          <w:marLeft w:val="1166"/>
          <w:marRight w:val="0"/>
          <w:marTop w:val="106"/>
          <w:marBottom w:val="0"/>
          <w:divBdr>
            <w:top w:val="none" w:sz="0" w:space="0" w:color="auto"/>
            <w:left w:val="none" w:sz="0" w:space="0" w:color="auto"/>
            <w:bottom w:val="none" w:sz="0" w:space="0" w:color="auto"/>
            <w:right w:val="none" w:sz="0" w:space="0" w:color="auto"/>
          </w:divBdr>
        </w:div>
      </w:divsChild>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368021648">
      <w:bodyDiv w:val="1"/>
      <w:marLeft w:val="0"/>
      <w:marRight w:val="0"/>
      <w:marTop w:val="0"/>
      <w:marBottom w:val="0"/>
      <w:divBdr>
        <w:top w:val="none" w:sz="0" w:space="0" w:color="auto"/>
        <w:left w:val="none" w:sz="0" w:space="0" w:color="auto"/>
        <w:bottom w:val="none" w:sz="0" w:space="0" w:color="auto"/>
        <w:right w:val="none" w:sz="0" w:space="0" w:color="auto"/>
      </w:divBdr>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AB593-68DA-4A20-9EEE-5AB55BC88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2022-05-16T10:02:00Z</cp:lastPrinted>
  <dcterms:created xsi:type="dcterms:W3CDTF">2022-06-10T04:17:00Z</dcterms:created>
  <dcterms:modified xsi:type="dcterms:W3CDTF">2022-06-10T04:17:00Z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