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E9" w:rsidRPr="001508AF" w:rsidRDefault="00CE44E9" w:rsidP="00CE44E9">
      <w:pPr>
        <w:tabs>
          <w:tab w:val="left" w:pos="750"/>
        </w:tabs>
        <w:spacing w:after="0" w:line="240" w:lineRule="auto"/>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r>
        <w:rPr>
          <w:rFonts w:ascii="Arial" w:eastAsia="Arial Unicode MS" w:hAnsi="Arial" w:cs="Times New Roman"/>
          <w:color w:val="000000"/>
          <w:sz w:val="24"/>
          <w:szCs w:val="20"/>
          <w:lang w:eastAsia="en-ZA"/>
        </w:rPr>
        <w:tab/>
      </w:r>
    </w:p>
    <w:p w:rsidR="00CE44E9" w:rsidRPr="001508AF" w:rsidRDefault="00CE44E9" w:rsidP="00CE44E9">
      <w:pPr>
        <w:spacing w:after="0" w:line="240" w:lineRule="auto"/>
        <w:outlineLvl w:val="0"/>
        <w:rPr>
          <w:rFonts w:ascii="Arial" w:eastAsia="Arial Unicode MS" w:hAnsi="Arial" w:cs="Times New Roman"/>
          <w:color w:val="000000"/>
          <w:sz w:val="24"/>
          <w:szCs w:val="20"/>
          <w:lang w:eastAsia="en-ZA"/>
        </w:rPr>
      </w:pPr>
    </w:p>
    <w:p w:rsidR="00CE44E9" w:rsidRPr="001508AF" w:rsidRDefault="00CE44E9" w:rsidP="00CE44E9">
      <w:pPr>
        <w:spacing w:after="0" w:line="240" w:lineRule="auto"/>
        <w:outlineLvl w:val="0"/>
        <w:rPr>
          <w:rFonts w:ascii="Arial" w:eastAsia="Arial Unicode MS" w:hAnsi="Arial" w:cs="Times New Roman"/>
          <w:color w:val="000000"/>
          <w:sz w:val="24"/>
          <w:szCs w:val="20"/>
          <w:lang w:eastAsia="en-ZA"/>
        </w:rPr>
      </w:pPr>
    </w:p>
    <w:p w:rsidR="00CE44E9" w:rsidRPr="001508AF" w:rsidRDefault="00CE44E9" w:rsidP="00CE44E9">
      <w:pPr>
        <w:spacing w:after="0" w:line="240" w:lineRule="auto"/>
        <w:jc w:val="center"/>
        <w:outlineLvl w:val="0"/>
        <w:rPr>
          <w:rFonts w:ascii="Arial" w:eastAsia="Arial Unicode MS" w:hAnsi="Arial" w:cs="Times New Roman"/>
          <w:b/>
          <w:color w:val="000000"/>
          <w:sz w:val="24"/>
          <w:szCs w:val="20"/>
          <w:lang w:eastAsia="en-ZA"/>
        </w:rPr>
      </w:pPr>
    </w:p>
    <w:p w:rsidR="00CE44E9" w:rsidRPr="001508AF" w:rsidRDefault="00CE44E9" w:rsidP="00CE44E9">
      <w:pPr>
        <w:spacing w:after="0" w:line="240" w:lineRule="auto"/>
        <w:jc w:val="center"/>
        <w:outlineLvl w:val="0"/>
        <w:rPr>
          <w:rFonts w:ascii="Arial" w:eastAsia="Arial Unicode MS" w:hAnsi="Arial" w:cs="Times New Roman"/>
          <w:b/>
          <w:color w:val="000000"/>
          <w:sz w:val="24"/>
          <w:szCs w:val="20"/>
          <w:lang w:eastAsia="en-ZA"/>
        </w:rPr>
      </w:pPr>
    </w:p>
    <w:p w:rsidR="00CE44E9" w:rsidRPr="001508AF" w:rsidRDefault="00CE44E9" w:rsidP="00CE44E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E44E9" w:rsidRPr="001508AF" w:rsidRDefault="00CE44E9" w:rsidP="00CE44E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E44E9" w:rsidRPr="001508AF" w:rsidRDefault="00CE44E9" w:rsidP="00CE44E9">
      <w:pPr>
        <w:spacing w:after="0" w:line="276" w:lineRule="auto"/>
        <w:outlineLvl w:val="0"/>
        <w:rPr>
          <w:rFonts w:ascii="Arial" w:eastAsia="Arial Unicode MS" w:hAnsi="Arial" w:cs="Times New Roman"/>
          <w:b/>
          <w:color w:val="000000"/>
          <w:sz w:val="24"/>
          <w:szCs w:val="20"/>
          <w:lang w:eastAsia="en-ZA"/>
        </w:rPr>
      </w:pPr>
    </w:p>
    <w:p w:rsidR="00CE44E9" w:rsidRDefault="00CE44E9" w:rsidP="00CE44E9">
      <w:pPr>
        <w:spacing w:after="0" w:line="276" w:lineRule="auto"/>
        <w:outlineLvl w:val="0"/>
        <w:rPr>
          <w:rFonts w:ascii="Arial" w:eastAsia="Arial Unicode MS" w:hAnsi="Arial" w:cs="Arial"/>
          <w:b/>
          <w:color w:val="000000"/>
          <w:sz w:val="24"/>
          <w:szCs w:val="24"/>
          <w:lang w:eastAsia="en-ZA"/>
        </w:rPr>
      </w:pP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NATIONAL </w:t>
      </w:r>
      <w:r>
        <w:rPr>
          <w:rFonts w:ascii="Arial" w:eastAsia="Arial Unicode MS" w:hAnsi="Arial" w:cs="Arial"/>
          <w:b/>
          <w:color w:val="000000"/>
          <w:sz w:val="24"/>
          <w:szCs w:val="24"/>
          <w:lang w:eastAsia="en-ZA"/>
        </w:rPr>
        <w:t xml:space="preserve">ASSEMBLY </w:t>
      </w: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20 AUGUST</w:t>
      </w:r>
      <w:r w:rsidRPr="001508AF">
        <w:rPr>
          <w:rFonts w:ascii="Arial" w:eastAsia="Arial Unicode MS" w:hAnsi="Arial" w:cs="Arial"/>
          <w:b/>
          <w:color w:val="000000"/>
          <w:sz w:val="24"/>
          <w:szCs w:val="24"/>
          <w:lang w:eastAsia="en-ZA"/>
        </w:rPr>
        <w:t xml:space="preserve"> 2021</w:t>
      </w:r>
    </w:p>
    <w:p w:rsidR="00CE44E9" w:rsidRPr="001508AF" w:rsidRDefault="00CE44E9" w:rsidP="00CE44E9">
      <w:pPr>
        <w:spacing w:after="0" w:line="276" w:lineRule="auto"/>
        <w:outlineLvl w:val="0"/>
        <w:rPr>
          <w:rFonts w:ascii="Arial" w:eastAsia="Arial Unicode MS" w:hAnsi="Arial" w:cs="Arial"/>
          <w:b/>
          <w:color w:val="000000"/>
          <w:sz w:val="24"/>
          <w:szCs w:val="24"/>
          <w:lang w:eastAsia="en-ZA"/>
        </w:rPr>
      </w:pPr>
    </w:p>
    <w:p w:rsidR="00CE44E9" w:rsidRDefault="00CE44E9" w:rsidP="00CE44E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1860.</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CE44E9" w:rsidRPr="007D3EB1" w:rsidRDefault="00CE44E9" w:rsidP="00CE44E9">
      <w:pPr>
        <w:spacing w:before="100" w:beforeAutospacing="1" w:after="100" w:afterAutospacing="1" w:line="240" w:lineRule="auto"/>
        <w:jc w:val="both"/>
        <w:outlineLvl w:val="0"/>
        <w:rPr>
          <w:rFonts w:ascii="Arial" w:hAnsi="Arial" w:cs="Arial"/>
          <w:sz w:val="24"/>
          <w:szCs w:val="24"/>
        </w:rPr>
      </w:pPr>
      <w:r w:rsidRPr="007D3EB1">
        <w:rPr>
          <w:rFonts w:ascii="Arial" w:hAnsi="Arial" w:cs="Arial"/>
          <w:b/>
          <w:sz w:val="24"/>
          <w:szCs w:val="24"/>
        </w:rPr>
        <w:t xml:space="preserve">Dr M </w:t>
      </w:r>
      <w:proofErr w:type="spellStart"/>
      <w:r w:rsidRPr="007D3EB1">
        <w:rPr>
          <w:rFonts w:ascii="Arial" w:hAnsi="Arial" w:cs="Arial"/>
          <w:b/>
          <w:sz w:val="24"/>
          <w:szCs w:val="24"/>
        </w:rPr>
        <w:t>M</w:t>
      </w:r>
      <w:proofErr w:type="spellEnd"/>
      <w:r w:rsidRPr="007D3EB1">
        <w:rPr>
          <w:rFonts w:ascii="Arial" w:hAnsi="Arial" w:cs="Arial"/>
          <w:b/>
          <w:sz w:val="24"/>
          <w:szCs w:val="24"/>
        </w:rPr>
        <w:t xml:space="preserve"> </w:t>
      </w:r>
      <w:proofErr w:type="spellStart"/>
      <w:r w:rsidRPr="007D3EB1">
        <w:rPr>
          <w:rFonts w:ascii="Arial" w:hAnsi="Arial" w:cs="Arial"/>
          <w:b/>
          <w:sz w:val="24"/>
          <w:szCs w:val="24"/>
        </w:rPr>
        <w:t>Gondwe</w:t>
      </w:r>
      <w:proofErr w:type="spellEnd"/>
      <w:r w:rsidRPr="007D3EB1">
        <w:rPr>
          <w:rFonts w:ascii="Arial" w:hAnsi="Arial" w:cs="Arial"/>
          <w:b/>
          <w:sz w:val="24"/>
          <w:szCs w:val="24"/>
        </w:rPr>
        <w:t xml:space="preserve"> (DA) to ask the Minister of Public Service and Administration</w:t>
      </w:r>
      <w:r w:rsidR="008066A0" w:rsidRPr="007D3EB1">
        <w:rPr>
          <w:rFonts w:ascii="Arial" w:hAnsi="Arial" w:cs="Arial"/>
          <w:b/>
          <w:sz w:val="24"/>
          <w:szCs w:val="24"/>
        </w:rPr>
        <w:fldChar w:fldCharType="begin"/>
      </w:r>
      <w:r>
        <w:rPr>
          <w:rFonts w:ascii="Arial" w:hAnsi="Arial" w:cs="Arial"/>
          <w:b/>
          <w:sz w:val="24"/>
          <w:szCs w:val="24"/>
        </w:rPr>
        <w:instrText> </w:instrText>
      </w:r>
      <w:r w:rsidRPr="007D3EB1">
        <w:rPr>
          <w:rFonts w:ascii="Arial" w:hAnsi="Arial" w:cs="Arial"/>
          <w:sz w:val="24"/>
          <w:szCs w:val="24"/>
        </w:rPr>
        <w:instrText>XE "</w:instrText>
      </w:r>
      <w:r w:rsidRPr="007D3EB1">
        <w:rPr>
          <w:rFonts w:ascii="Arial" w:hAnsi="Arial" w:cs="Arial"/>
          <w:b/>
          <w:sz w:val="24"/>
          <w:szCs w:val="24"/>
        </w:rPr>
        <w:instrText>Public Service and Administration</w:instrText>
      </w:r>
      <w:r w:rsidRPr="007D3EB1">
        <w:rPr>
          <w:rFonts w:ascii="Arial" w:hAnsi="Arial" w:cs="Arial"/>
          <w:sz w:val="24"/>
          <w:szCs w:val="24"/>
        </w:rPr>
        <w:instrText xml:space="preserve">" </w:instrText>
      </w:r>
      <w:r w:rsidR="008066A0" w:rsidRPr="007D3EB1">
        <w:rPr>
          <w:rFonts w:ascii="Arial" w:hAnsi="Arial" w:cs="Arial"/>
          <w:b/>
          <w:sz w:val="24"/>
          <w:szCs w:val="24"/>
        </w:rPr>
        <w:fldChar w:fldCharType="end"/>
      </w:r>
      <w:r w:rsidRPr="007D3EB1">
        <w:rPr>
          <w:rFonts w:ascii="Arial" w:hAnsi="Arial" w:cs="Arial"/>
          <w:b/>
          <w:sz w:val="24"/>
          <w:szCs w:val="24"/>
        </w:rPr>
        <w:t xml:space="preserve">: </w:t>
      </w:r>
    </w:p>
    <w:p w:rsidR="00CE44E9" w:rsidRDefault="00CE44E9" w:rsidP="00CE44E9">
      <w:pPr>
        <w:spacing w:before="100" w:beforeAutospacing="1" w:after="100" w:afterAutospacing="1" w:line="240" w:lineRule="auto"/>
        <w:ind w:left="720" w:hanging="720"/>
        <w:jc w:val="both"/>
        <w:outlineLvl w:val="0"/>
        <w:rPr>
          <w:rFonts w:ascii="Arial" w:hAnsi="Arial" w:cs="Arial"/>
          <w:sz w:val="24"/>
          <w:szCs w:val="24"/>
        </w:rPr>
      </w:pPr>
    </w:p>
    <w:p w:rsidR="00CE44E9" w:rsidRDefault="00CE44E9" w:rsidP="00CE44E9">
      <w:pPr>
        <w:spacing w:before="100" w:beforeAutospacing="1" w:after="100" w:afterAutospacing="1" w:line="240" w:lineRule="auto"/>
        <w:ind w:left="720" w:hanging="720"/>
        <w:jc w:val="both"/>
        <w:outlineLvl w:val="0"/>
        <w:rPr>
          <w:rFonts w:ascii="Arial" w:hAnsi="Arial" w:cs="Arial"/>
          <w:sz w:val="24"/>
          <w:szCs w:val="24"/>
        </w:rPr>
      </w:pPr>
      <w:r w:rsidRPr="007D3EB1">
        <w:rPr>
          <w:rFonts w:ascii="Arial" w:hAnsi="Arial" w:cs="Arial"/>
          <w:sz w:val="24"/>
          <w:szCs w:val="24"/>
        </w:rPr>
        <w:t>(1)</w:t>
      </w:r>
      <w:r w:rsidRPr="007D3EB1">
        <w:rPr>
          <w:rFonts w:ascii="Arial" w:hAnsi="Arial" w:cs="Arial"/>
          <w:sz w:val="24"/>
          <w:szCs w:val="24"/>
        </w:rPr>
        <w:tab/>
        <w:t>What total amount did each (a) national and (b) provincial government department spend on paying overtime to Public Service employees in the (</w:t>
      </w:r>
      <w:proofErr w:type="spellStart"/>
      <w:r w:rsidRPr="007D3EB1">
        <w:rPr>
          <w:rFonts w:ascii="Arial" w:hAnsi="Arial" w:cs="Arial"/>
          <w:sz w:val="24"/>
          <w:szCs w:val="24"/>
        </w:rPr>
        <w:t>i</w:t>
      </w:r>
      <w:proofErr w:type="spellEnd"/>
      <w:r w:rsidRPr="007D3EB1">
        <w:rPr>
          <w:rFonts w:ascii="Arial" w:hAnsi="Arial" w:cs="Arial"/>
          <w:sz w:val="24"/>
          <w:szCs w:val="24"/>
        </w:rPr>
        <w:t>) 2019-20 and (ii) 2020-21 financial years;</w:t>
      </w:r>
    </w:p>
    <w:p w:rsidR="00CE44E9" w:rsidRPr="007D3EB1" w:rsidRDefault="00CE44E9" w:rsidP="00CE44E9">
      <w:pPr>
        <w:spacing w:before="100" w:beforeAutospacing="1" w:after="100" w:afterAutospacing="1" w:line="240" w:lineRule="auto"/>
        <w:ind w:left="720" w:hanging="720"/>
        <w:jc w:val="both"/>
        <w:outlineLvl w:val="0"/>
        <w:rPr>
          <w:rFonts w:ascii="Arial" w:hAnsi="Arial" w:cs="Arial"/>
          <w:sz w:val="24"/>
          <w:szCs w:val="24"/>
        </w:rPr>
      </w:pPr>
    </w:p>
    <w:p w:rsidR="00CE44E9" w:rsidRPr="007D3EB1" w:rsidRDefault="00CE44E9" w:rsidP="00CE44E9">
      <w:pPr>
        <w:spacing w:before="100" w:beforeAutospacing="1" w:after="100" w:afterAutospacing="1" w:line="240" w:lineRule="auto"/>
        <w:ind w:left="720" w:hanging="720"/>
        <w:jc w:val="both"/>
        <w:outlineLvl w:val="0"/>
        <w:rPr>
          <w:rFonts w:ascii="Arial" w:hAnsi="Arial" w:cs="Arial"/>
          <w:sz w:val="24"/>
          <w:szCs w:val="24"/>
        </w:rPr>
      </w:pPr>
      <w:r w:rsidRPr="007D3EB1">
        <w:rPr>
          <w:rFonts w:ascii="Arial" w:hAnsi="Arial" w:cs="Arial"/>
          <w:sz w:val="24"/>
          <w:szCs w:val="24"/>
        </w:rPr>
        <w:t>(2)</w:t>
      </w:r>
      <w:r w:rsidRPr="007D3EB1">
        <w:rPr>
          <w:rFonts w:ascii="Arial" w:hAnsi="Arial" w:cs="Arial"/>
          <w:sz w:val="24"/>
          <w:szCs w:val="24"/>
        </w:rPr>
        <w:tab/>
      </w:r>
      <w:r>
        <w:rPr>
          <w:rFonts w:ascii="Arial" w:hAnsi="Arial" w:cs="Arial"/>
          <w:sz w:val="24"/>
          <w:szCs w:val="24"/>
        </w:rPr>
        <w:t>W</w:t>
      </w:r>
      <w:r w:rsidRPr="007D3EB1">
        <w:rPr>
          <w:rFonts w:ascii="Arial" w:hAnsi="Arial" w:cs="Arial"/>
          <w:sz w:val="24"/>
          <w:szCs w:val="24"/>
        </w:rPr>
        <w:t>hether her department has developed norms and standards for the payment of overtime in the Public Service; if not, why not; if so, (a) on what date were the norms and standards developed and (b) how often are the norms and standards (</w:t>
      </w:r>
      <w:proofErr w:type="spellStart"/>
      <w:r w:rsidRPr="007D3EB1">
        <w:rPr>
          <w:rFonts w:ascii="Arial" w:hAnsi="Arial" w:cs="Arial"/>
          <w:sz w:val="24"/>
          <w:szCs w:val="24"/>
        </w:rPr>
        <w:t>i</w:t>
      </w:r>
      <w:proofErr w:type="spellEnd"/>
      <w:r w:rsidRPr="007D3EB1">
        <w:rPr>
          <w:rFonts w:ascii="Arial" w:hAnsi="Arial" w:cs="Arial"/>
          <w:sz w:val="24"/>
          <w:szCs w:val="24"/>
        </w:rPr>
        <w:t>) m</w:t>
      </w:r>
      <w:r>
        <w:rPr>
          <w:rFonts w:ascii="Arial" w:hAnsi="Arial" w:cs="Arial"/>
          <w:sz w:val="24"/>
          <w:szCs w:val="24"/>
        </w:rPr>
        <w:t>onitored and (ii) reviewed?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3EB1">
        <w:rPr>
          <w:rFonts w:ascii="Arial" w:hAnsi="Arial" w:cs="Arial"/>
          <w:b/>
          <w:sz w:val="24"/>
          <w:szCs w:val="24"/>
        </w:rPr>
        <w:t>NW2088E</w:t>
      </w:r>
    </w:p>
    <w:p w:rsidR="00CE44E9" w:rsidRDefault="00CE44E9" w:rsidP="00CE44E9">
      <w:pPr>
        <w:spacing w:after="240" w:line="240" w:lineRule="auto"/>
        <w:rPr>
          <w:rFonts w:ascii="Arial" w:eastAsia="Calibri" w:hAnsi="Arial" w:cs="Arial"/>
          <w:b/>
          <w:sz w:val="24"/>
          <w:szCs w:val="24"/>
        </w:rPr>
      </w:pPr>
    </w:p>
    <w:p w:rsidR="00CE44E9" w:rsidRDefault="00CE44E9" w:rsidP="00CE44E9">
      <w:pPr>
        <w:spacing w:after="240" w:line="240" w:lineRule="auto"/>
        <w:rPr>
          <w:rFonts w:ascii="Arial" w:eastAsia="Calibri" w:hAnsi="Arial" w:cs="Arial"/>
          <w:b/>
          <w:sz w:val="24"/>
          <w:szCs w:val="24"/>
        </w:rPr>
      </w:pPr>
      <w:r w:rsidRPr="000D04FB">
        <w:rPr>
          <w:rFonts w:ascii="Arial" w:eastAsia="Calibri" w:hAnsi="Arial" w:cs="Arial"/>
          <w:b/>
          <w:sz w:val="24"/>
          <w:szCs w:val="24"/>
        </w:rPr>
        <w:t>REPLY</w:t>
      </w:r>
      <w:r>
        <w:rPr>
          <w:rFonts w:ascii="Arial" w:eastAsia="Calibri" w:hAnsi="Arial" w:cs="Arial"/>
          <w:b/>
          <w:sz w:val="24"/>
          <w:szCs w:val="24"/>
        </w:rPr>
        <w:t>:</w:t>
      </w:r>
      <w:r w:rsidRPr="000D04FB">
        <w:rPr>
          <w:rFonts w:ascii="Arial" w:eastAsia="Calibri" w:hAnsi="Arial" w:cs="Arial"/>
          <w:b/>
          <w:sz w:val="24"/>
          <w:szCs w:val="24"/>
        </w:rPr>
        <w:t xml:space="preserve"> </w:t>
      </w:r>
    </w:p>
    <w:p w:rsidR="00CE44E9" w:rsidRDefault="00CE44E9" w:rsidP="00CE44E9">
      <w:pPr>
        <w:pStyle w:val="ListParagraph"/>
        <w:numPr>
          <w:ilvl w:val="0"/>
          <w:numId w:val="1"/>
        </w:numPr>
        <w:spacing w:after="240" w:line="240" w:lineRule="auto"/>
        <w:ind w:hanging="720"/>
        <w:contextualSpacing w:val="0"/>
        <w:rPr>
          <w:rFonts w:ascii="Arial" w:eastAsia="Calibri" w:hAnsi="Arial" w:cs="Arial"/>
          <w:sz w:val="24"/>
          <w:szCs w:val="24"/>
        </w:rPr>
      </w:pPr>
      <w:r>
        <w:rPr>
          <w:rFonts w:ascii="Arial" w:eastAsia="Calibri" w:hAnsi="Arial" w:cs="Arial"/>
          <w:sz w:val="24"/>
          <w:szCs w:val="24"/>
        </w:rPr>
        <w:t xml:space="preserve">The total overtime expenditure by provincial and national departments for the 2019/20 and 2020/21 financial years are set out in the table below. In instances where no values are displayed, </w:t>
      </w:r>
      <w:r w:rsidRPr="00871C21">
        <w:rPr>
          <w:rFonts w:ascii="Arial" w:eastAsia="Calibri" w:hAnsi="Arial" w:cs="Arial"/>
          <w:sz w:val="24"/>
          <w:szCs w:val="24"/>
        </w:rPr>
        <w:t xml:space="preserve">it is due to </w:t>
      </w:r>
      <w:r>
        <w:rPr>
          <w:rFonts w:ascii="Arial" w:eastAsia="Calibri" w:hAnsi="Arial" w:cs="Arial"/>
          <w:sz w:val="24"/>
          <w:szCs w:val="24"/>
        </w:rPr>
        <w:t xml:space="preserve">either </w:t>
      </w:r>
      <w:r w:rsidRPr="00871C21">
        <w:rPr>
          <w:rFonts w:ascii="Arial" w:eastAsia="Calibri" w:hAnsi="Arial" w:cs="Arial"/>
          <w:sz w:val="24"/>
          <w:szCs w:val="24"/>
        </w:rPr>
        <w:t xml:space="preserve">the department splitting or merging with </w:t>
      </w:r>
      <w:r>
        <w:rPr>
          <w:rFonts w:ascii="Arial" w:eastAsia="Calibri" w:hAnsi="Arial" w:cs="Arial"/>
          <w:sz w:val="24"/>
          <w:szCs w:val="24"/>
        </w:rPr>
        <w:t>an</w:t>
      </w:r>
      <w:r w:rsidRPr="00871C21">
        <w:rPr>
          <w:rFonts w:ascii="Arial" w:eastAsia="Calibri" w:hAnsi="Arial" w:cs="Arial"/>
          <w:sz w:val="24"/>
          <w:szCs w:val="24"/>
        </w:rPr>
        <w:t>other</w:t>
      </w:r>
      <w:r>
        <w:rPr>
          <w:rFonts w:ascii="Arial" w:eastAsia="Calibri" w:hAnsi="Arial" w:cs="Arial"/>
          <w:sz w:val="24"/>
          <w:szCs w:val="24"/>
        </w:rPr>
        <w:t>/other</w:t>
      </w:r>
      <w:r w:rsidRPr="00871C21">
        <w:rPr>
          <w:rFonts w:ascii="Arial" w:eastAsia="Calibri" w:hAnsi="Arial" w:cs="Arial"/>
          <w:sz w:val="24"/>
          <w:szCs w:val="24"/>
        </w:rPr>
        <w:t xml:space="preserve"> department</w:t>
      </w:r>
      <w:r>
        <w:rPr>
          <w:rFonts w:ascii="Arial" w:eastAsia="Calibri" w:hAnsi="Arial" w:cs="Arial"/>
          <w:sz w:val="24"/>
          <w:szCs w:val="24"/>
        </w:rPr>
        <w:t>(</w:t>
      </w:r>
      <w:r w:rsidRPr="00871C21">
        <w:rPr>
          <w:rFonts w:ascii="Arial" w:eastAsia="Calibri" w:hAnsi="Arial" w:cs="Arial"/>
          <w:sz w:val="24"/>
          <w:szCs w:val="24"/>
        </w:rPr>
        <w:t>s</w:t>
      </w:r>
      <w:r>
        <w:rPr>
          <w:rFonts w:ascii="Arial" w:eastAsia="Calibri" w:hAnsi="Arial" w:cs="Arial"/>
          <w:sz w:val="24"/>
          <w:szCs w:val="24"/>
        </w:rPr>
        <w:t>) or overtime payments not having been captured on the PERSAL system:</w:t>
      </w:r>
      <w:r w:rsidRPr="00C115FE">
        <w:rPr>
          <w:rFonts w:ascii="Arial" w:eastAsia="Calibri" w:hAnsi="Arial" w:cs="Arial"/>
          <w:sz w:val="24"/>
          <w:szCs w:val="24"/>
        </w:rPr>
        <w:t xml:space="preserve"> </w:t>
      </w:r>
    </w:p>
    <w:p w:rsidR="00CE44E9" w:rsidRDefault="00CE44E9" w:rsidP="00CE44E9">
      <w:pPr>
        <w:pStyle w:val="ListParagraph"/>
        <w:spacing w:after="240" w:line="240" w:lineRule="auto"/>
        <w:contextualSpacing w:val="0"/>
        <w:rPr>
          <w:rFonts w:ascii="Arial" w:eastAsia="Calibri" w:hAnsi="Arial" w:cs="Arial"/>
          <w:sz w:val="24"/>
          <w:szCs w:val="24"/>
        </w:rPr>
      </w:pPr>
    </w:p>
    <w:tbl>
      <w:tblPr>
        <w:tblStyle w:val="TableGrid"/>
        <w:tblW w:w="0" w:type="auto"/>
        <w:tblLook w:val="04A0"/>
      </w:tblPr>
      <w:tblGrid>
        <w:gridCol w:w="1544"/>
        <w:gridCol w:w="3934"/>
        <w:gridCol w:w="1555"/>
        <w:gridCol w:w="1917"/>
      </w:tblGrid>
      <w:tr w:rsidR="00CE44E9" w:rsidRPr="007979AA" w:rsidTr="00B87458">
        <w:trPr>
          <w:trHeight w:val="330"/>
          <w:tblHeader/>
        </w:trPr>
        <w:tc>
          <w:tcPr>
            <w:tcW w:w="5478" w:type="dxa"/>
            <w:gridSpan w:val="2"/>
            <w:vMerge w:val="restart"/>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noWrap/>
            <w:hideMark/>
          </w:tcPr>
          <w:p w:rsidR="00CE44E9" w:rsidRPr="007979AA" w:rsidRDefault="00CE44E9" w:rsidP="00B87458">
            <w:pPr>
              <w:spacing w:before="60" w:after="60"/>
              <w:jc w:val="center"/>
              <w:rPr>
                <w:rFonts w:ascii="Arial Narrow" w:eastAsia="Calibri" w:hAnsi="Arial Narrow" w:cs="Arial"/>
                <w:b/>
                <w:bCs/>
                <w:sz w:val="20"/>
                <w:szCs w:val="20"/>
              </w:rPr>
            </w:pPr>
            <w:r w:rsidRPr="007979AA">
              <w:rPr>
                <w:rFonts w:ascii="Arial Narrow" w:eastAsia="Calibri" w:hAnsi="Arial Narrow" w:cs="Arial"/>
                <w:b/>
                <w:bCs/>
                <w:sz w:val="20"/>
                <w:szCs w:val="20"/>
              </w:rPr>
              <w:t>Department Name</w:t>
            </w:r>
          </w:p>
        </w:tc>
        <w:tc>
          <w:tcPr>
            <w:tcW w:w="1555"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noWrap/>
            <w:hideMark/>
          </w:tcPr>
          <w:p w:rsidR="00CE44E9" w:rsidRPr="007979AA" w:rsidRDefault="00CE44E9" w:rsidP="00B87458">
            <w:pPr>
              <w:spacing w:before="60" w:after="60"/>
              <w:jc w:val="center"/>
              <w:rPr>
                <w:rFonts w:ascii="Arial Narrow" w:eastAsia="Calibri" w:hAnsi="Arial Narrow" w:cs="Arial"/>
                <w:b/>
                <w:bCs/>
                <w:sz w:val="20"/>
                <w:szCs w:val="20"/>
              </w:rPr>
            </w:pPr>
            <w:r w:rsidRPr="007979AA">
              <w:rPr>
                <w:rFonts w:ascii="Arial Narrow" w:eastAsia="Calibri" w:hAnsi="Arial Narrow" w:cs="Arial"/>
                <w:b/>
                <w:bCs/>
                <w:sz w:val="20"/>
                <w:szCs w:val="20"/>
              </w:rPr>
              <w:t>2019-20</w:t>
            </w:r>
          </w:p>
        </w:tc>
        <w:tc>
          <w:tcPr>
            <w:tcW w:w="1917"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noWrap/>
            <w:hideMark/>
          </w:tcPr>
          <w:p w:rsidR="00CE44E9" w:rsidRPr="007979AA" w:rsidRDefault="00CE44E9" w:rsidP="00B87458">
            <w:pPr>
              <w:spacing w:before="60" w:after="60"/>
              <w:jc w:val="center"/>
              <w:rPr>
                <w:rFonts w:ascii="Arial Narrow" w:eastAsia="Calibri" w:hAnsi="Arial Narrow" w:cs="Arial"/>
                <w:b/>
                <w:bCs/>
                <w:sz w:val="20"/>
                <w:szCs w:val="20"/>
              </w:rPr>
            </w:pPr>
            <w:r w:rsidRPr="007979AA">
              <w:rPr>
                <w:rFonts w:ascii="Arial Narrow" w:eastAsia="Calibri" w:hAnsi="Arial Narrow" w:cs="Arial"/>
                <w:b/>
                <w:bCs/>
                <w:sz w:val="20"/>
                <w:szCs w:val="20"/>
              </w:rPr>
              <w:t>2020-21</w:t>
            </w:r>
          </w:p>
        </w:tc>
      </w:tr>
      <w:tr w:rsidR="00CE44E9" w:rsidRPr="007979AA" w:rsidTr="00B87458">
        <w:trPr>
          <w:trHeight w:val="330"/>
          <w:tblHeader/>
        </w:trPr>
        <w:tc>
          <w:tcPr>
            <w:tcW w:w="5478" w:type="dxa"/>
            <w:gridSpan w:val="2"/>
            <w:vMerge/>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1555"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noWrap/>
            <w:hideMark/>
          </w:tcPr>
          <w:p w:rsidR="00CE44E9" w:rsidRDefault="00CE44E9" w:rsidP="00B87458">
            <w:pPr>
              <w:spacing w:before="60" w:after="60"/>
              <w:jc w:val="center"/>
              <w:rPr>
                <w:rFonts w:ascii="Arial Narrow" w:eastAsia="Calibri" w:hAnsi="Arial Narrow" w:cs="Arial"/>
                <w:b/>
                <w:bCs/>
                <w:sz w:val="20"/>
                <w:szCs w:val="20"/>
              </w:rPr>
            </w:pPr>
            <w:r w:rsidRPr="007979AA">
              <w:rPr>
                <w:rFonts w:ascii="Arial Narrow" w:eastAsia="Calibri" w:hAnsi="Arial Narrow" w:cs="Arial"/>
                <w:b/>
                <w:bCs/>
                <w:sz w:val="20"/>
                <w:szCs w:val="20"/>
              </w:rPr>
              <w:t>Amount</w:t>
            </w:r>
          </w:p>
          <w:p w:rsidR="00CE44E9" w:rsidRPr="007979AA" w:rsidRDefault="00CE44E9" w:rsidP="00B87458">
            <w:pPr>
              <w:spacing w:before="60" w:after="60"/>
              <w:jc w:val="center"/>
              <w:rPr>
                <w:rFonts w:ascii="Arial Narrow" w:eastAsia="Calibri" w:hAnsi="Arial Narrow" w:cs="Arial"/>
                <w:b/>
                <w:bCs/>
                <w:sz w:val="20"/>
                <w:szCs w:val="20"/>
              </w:rPr>
            </w:pPr>
            <w:r>
              <w:rPr>
                <w:rFonts w:ascii="Arial Narrow" w:eastAsia="Calibri" w:hAnsi="Arial Narrow" w:cs="Arial"/>
                <w:b/>
                <w:bCs/>
                <w:sz w:val="20"/>
                <w:szCs w:val="20"/>
              </w:rPr>
              <w:t>(R)</w:t>
            </w:r>
          </w:p>
        </w:tc>
        <w:tc>
          <w:tcPr>
            <w:tcW w:w="1917" w:type="dxa"/>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noWrap/>
            <w:hideMark/>
          </w:tcPr>
          <w:p w:rsidR="00CE44E9" w:rsidRDefault="00CE44E9" w:rsidP="00B87458">
            <w:pPr>
              <w:spacing w:before="60" w:after="60"/>
              <w:jc w:val="center"/>
              <w:rPr>
                <w:rFonts w:ascii="Arial Narrow" w:eastAsia="Calibri" w:hAnsi="Arial Narrow" w:cs="Arial"/>
                <w:b/>
                <w:bCs/>
                <w:sz w:val="20"/>
                <w:szCs w:val="20"/>
              </w:rPr>
            </w:pPr>
            <w:r w:rsidRPr="007979AA">
              <w:rPr>
                <w:rFonts w:ascii="Arial Narrow" w:eastAsia="Calibri" w:hAnsi="Arial Narrow" w:cs="Arial"/>
                <w:b/>
                <w:bCs/>
                <w:sz w:val="20"/>
                <w:szCs w:val="20"/>
              </w:rPr>
              <w:t>Amount</w:t>
            </w:r>
          </w:p>
          <w:p w:rsidR="00CE44E9" w:rsidRPr="007979AA" w:rsidRDefault="00CE44E9" w:rsidP="00B87458">
            <w:pPr>
              <w:spacing w:before="60" w:after="60"/>
              <w:jc w:val="center"/>
              <w:rPr>
                <w:rFonts w:ascii="Arial Narrow" w:eastAsia="Calibri" w:hAnsi="Arial Narrow" w:cs="Arial"/>
                <w:b/>
                <w:bCs/>
                <w:sz w:val="20"/>
                <w:szCs w:val="20"/>
              </w:rPr>
            </w:pPr>
            <w:r>
              <w:rPr>
                <w:rFonts w:ascii="Arial Narrow" w:eastAsia="Calibri" w:hAnsi="Arial Narrow" w:cs="Arial"/>
                <w:b/>
                <w:bCs/>
                <w:sz w:val="20"/>
                <w:szCs w:val="20"/>
              </w:rPr>
              <w:t>(R)</w:t>
            </w:r>
          </w:p>
        </w:tc>
      </w:tr>
      <w:tr w:rsidR="00CE44E9" w:rsidRPr="007979AA" w:rsidTr="00B87458">
        <w:trPr>
          <w:trHeight w:val="547"/>
        </w:trPr>
        <w:tc>
          <w:tcPr>
            <w:tcW w:w="1544" w:type="dxa"/>
            <w:vMerge w:val="restart"/>
            <w:tcBorders>
              <w:top w:val="thinThick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 xml:space="preserve">Eastern Cape Provincial </w:t>
            </w:r>
            <w:r w:rsidRPr="007979AA">
              <w:rPr>
                <w:rFonts w:ascii="Arial Narrow" w:eastAsia="Calibri" w:hAnsi="Arial Narrow" w:cs="Arial"/>
                <w:b/>
                <w:bCs/>
                <w:sz w:val="20"/>
                <w:szCs w:val="20"/>
              </w:rPr>
              <w:lastRenderedPageBreak/>
              <w:t>Administration</w:t>
            </w:r>
          </w:p>
        </w:tc>
        <w:tc>
          <w:tcPr>
            <w:tcW w:w="3934" w:type="dxa"/>
            <w:tcBorders>
              <w:top w:val="thinThickSmallGap" w:sz="18" w:space="0" w:color="auto"/>
              <w:left w:val="thickThinSmallGap" w:sz="18" w:space="0" w:color="auto"/>
            </w:tcBorders>
            <w:noWrap/>
          </w:tcPr>
          <w:p w:rsidR="00CE44E9" w:rsidRPr="00871C21" w:rsidRDefault="00CE44E9" w:rsidP="00B87458">
            <w:pPr>
              <w:spacing w:before="60" w:after="60"/>
              <w:rPr>
                <w:rFonts w:ascii="Arial Narrow" w:eastAsia="Calibri" w:hAnsi="Arial Narrow" w:cs="Arial"/>
                <w:bCs/>
                <w:sz w:val="20"/>
                <w:szCs w:val="20"/>
              </w:rPr>
            </w:pPr>
            <w:r w:rsidRPr="007979AA">
              <w:rPr>
                <w:rFonts w:ascii="Arial Narrow" w:eastAsia="Calibri" w:hAnsi="Arial Narrow" w:cs="Arial"/>
                <w:sz w:val="20"/>
                <w:szCs w:val="20"/>
              </w:rPr>
              <w:lastRenderedPageBreak/>
              <w:t>Cooperative Governance and Traditional Affairs</w:t>
            </w:r>
          </w:p>
        </w:tc>
        <w:tc>
          <w:tcPr>
            <w:tcW w:w="1555" w:type="dxa"/>
            <w:tcBorders>
              <w:top w:val="thinThickSmallGap" w:sz="18" w:space="0" w:color="auto"/>
            </w:tcBorders>
            <w:noWrap/>
          </w:tcPr>
          <w:p w:rsidR="00CE44E9" w:rsidRPr="00871C21" w:rsidRDefault="00CE44E9" w:rsidP="00B87458">
            <w:pPr>
              <w:spacing w:before="60" w:after="60"/>
              <w:rPr>
                <w:rFonts w:ascii="Arial Narrow" w:eastAsia="Calibri" w:hAnsi="Arial Narrow" w:cs="Arial"/>
                <w:bCs/>
                <w:sz w:val="20"/>
                <w:szCs w:val="20"/>
              </w:rPr>
            </w:pPr>
            <w:r w:rsidRPr="007979AA">
              <w:rPr>
                <w:rFonts w:ascii="Arial Narrow" w:eastAsia="Calibri" w:hAnsi="Arial Narrow" w:cs="Arial"/>
                <w:sz w:val="20"/>
                <w:szCs w:val="20"/>
              </w:rPr>
              <w:t xml:space="preserve">1,207,384.23 </w:t>
            </w:r>
          </w:p>
        </w:tc>
        <w:tc>
          <w:tcPr>
            <w:tcW w:w="1917" w:type="dxa"/>
            <w:tcBorders>
              <w:top w:val="thinThickSmallGap" w:sz="18" w:space="0" w:color="auto"/>
            </w:tcBorders>
            <w:noWrap/>
          </w:tcPr>
          <w:p w:rsidR="00CE44E9" w:rsidRPr="00871C21" w:rsidRDefault="00CE44E9" w:rsidP="00B87458">
            <w:pPr>
              <w:spacing w:before="60" w:after="60"/>
              <w:rPr>
                <w:rFonts w:ascii="Arial Narrow" w:eastAsia="Calibri" w:hAnsi="Arial Narrow" w:cs="Arial"/>
                <w:bCs/>
                <w:sz w:val="20"/>
                <w:szCs w:val="20"/>
              </w:rPr>
            </w:pPr>
            <w:r w:rsidRPr="007979AA">
              <w:rPr>
                <w:rFonts w:ascii="Arial Narrow" w:eastAsia="Calibri" w:hAnsi="Arial Narrow" w:cs="Arial"/>
                <w:sz w:val="20"/>
                <w:szCs w:val="20"/>
              </w:rPr>
              <w:t xml:space="preserve">131,393.44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Environmental Affairs and 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511,581.59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249,209.73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18,113,853.20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13,965,584.32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829,123,891.33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922,173,581.39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183,421.78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130,867.37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959,684.20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155,510.05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65,511.58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5,302.19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Roads and Public </w:t>
            </w:r>
            <w:r>
              <w:rPr>
                <w:rFonts w:ascii="Arial Narrow" w:eastAsia="Calibri" w:hAnsi="Arial Narrow" w:cs="Arial"/>
                <w:sz w:val="20"/>
                <w:szCs w:val="20"/>
              </w:rPr>
              <w:t>W</w:t>
            </w:r>
            <w:r w:rsidRPr="007979AA">
              <w:rPr>
                <w:rFonts w:ascii="Arial Narrow" w:eastAsia="Calibri" w:hAnsi="Arial Narrow" w:cs="Arial"/>
                <w:sz w:val="20"/>
                <w:szCs w:val="20"/>
              </w:rPr>
              <w:t>orks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1,876,901.37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537,655.44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Rural Development and Agrarian Reform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4,583,294.67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3,966,340.06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Safety and Liaison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956,381.49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191,975.32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3,258,168.59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1,348,584.50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Recreation, Arts and Culture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971,988.92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29,116.44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39,490,326.66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44,816,427.05 </w:t>
            </w:r>
          </w:p>
        </w:tc>
      </w:tr>
      <w:tr w:rsidR="00CE44E9" w:rsidRPr="007979AA" w:rsidTr="00B87458">
        <w:trPr>
          <w:trHeight w:val="491"/>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ED3DC6" w:rsidRDefault="00CE44E9" w:rsidP="00B87458">
            <w:pPr>
              <w:spacing w:before="60" w:after="60"/>
              <w:rPr>
                <w:rFonts w:ascii="Arial Narrow" w:eastAsia="Calibri" w:hAnsi="Arial Narrow" w:cs="Arial"/>
                <w:b/>
                <w:bCs/>
                <w:sz w:val="20"/>
                <w:szCs w:val="20"/>
              </w:rPr>
            </w:pPr>
            <w:r w:rsidRPr="00ED3DC6">
              <w:rPr>
                <w:rFonts w:ascii="Arial Narrow" w:eastAsia="Calibri" w:hAnsi="Arial Narrow" w:cs="Arial"/>
                <w:b/>
                <w:bCs/>
                <w:sz w:val="20"/>
                <w:szCs w:val="20"/>
              </w:rPr>
              <w:t>Free State Provincial Administration</w:t>
            </w:r>
          </w:p>
        </w:tc>
        <w:tc>
          <w:tcPr>
            <w:tcW w:w="3934" w:type="dxa"/>
            <w:tcBorders>
              <w:left w:val="thickThinSmallGap" w:sz="18" w:space="0" w:color="auto"/>
            </w:tcBorders>
            <w:noWrap/>
          </w:tcPr>
          <w:p w:rsidR="00CE44E9" w:rsidRPr="00871C21" w:rsidRDefault="00CE44E9" w:rsidP="00B87458">
            <w:pPr>
              <w:spacing w:before="60" w:after="60"/>
              <w:rPr>
                <w:rFonts w:ascii="Arial Narrow" w:eastAsia="Calibri" w:hAnsi="Arial Narrow" w:cs="Arial"/>
                <w:bCs/>
                <w:sz w:val="20"/>
                <w:szCs w:val="20"/>
              </w:rPr>
            </w:pPr>
            <w:r w:rsidRPr="00871C21">
              <w:rPr>
                <w:rFonts w:ascii="Arial Narrow" w:eastAsia="Calibri" w:hAnsi="Arial Narrow" w:cs="Arial"/>
                <w:sz w:val="20"/>
                <w:szCs w:val="20"/>
              </w:rPr>
              <w:t>Agriculture</w:t>
            </w:r>
          </w:p>
        </w:tc>
        <w:tc>
          <w:tcPr>
            <w:tcW w:w="1555" w:type="dxa"/>
            <w:noWrap/>
          </w:tcPr>
          <w:p w:rsidR="00CE44E9" w:rsidRPr="00871C21" w:rsidRDefault="00CE44E9" w:rsidP="00B87458">
            <w:pPr>
              <w:spacing w:before="60" w:after="60"/>
              <w:rPr>
                <w:rFonts w:ascii="Arial Narrow" w:eastAsia="Calibri" w:hAnsi="Arial Narrow" w:cs="Arial"/>
                <w:bCs/>
                <w:sz w:val="20"/>
                <w:szCs w:val="20"/>
              </w:rPr>
            </w:pPr>
            <w:r w:rsidRPr="00871C21">
              <w:rPr>
                <w:rFonts w:ascii="Arial Narrow" w:eastAsia="Calibri" w:hAnsi="Arial Narrow" w:cs="Arial"/>
                <w:sz w:val="20"/>
                <w:szCs w:val="20"/>
              </w:rPr>
              <w:t xml:space="preserve">1,406,881.16 </w:t>
            </w:r>
          </w:p>
        </w:tc>
        <w:tc>
          <w:tcPr>
            <w:tcW w:w="1917" w:type="dxa"/>
            <w:noWrap/>
          </w:tcPr>
          <w:p w:rsidR="00CE44E9" w:rsidRPr="00871C21" w:rsidRDefault="00CE44E9" w:rsidP="00B87458">
            <w:pPr>
              <w:spacing w:before="60" w:after="60"/>
              <w:rPr>
                <w:rFonts w:ascii="Arial Narrow" w:eastAsia="Calibri" w:hAnsi="Arial Narrow" w:cs="Arial"/>
                <w:bCs/>
                <w:sz w:val="20"/>
                <w:szCs w:val="20"/>
              </w:rPr>
            </w:pPr>
            <w:r w:rsidRPr="00871C21">
              <w:rPr>
                <w:rFonts w:ascii="Arial Narrow" w:eastAsia="Calibri" w:hAnsi="Arial Narrow" w:cs="Arial"/>
                <w:sz w:val="20"/>
                <w:szCs w:val="20"/>
              </w:rPr>
              <w:t xml:space="preserve">1,517,070.60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27,482.18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326,724.86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Tourism and Environmental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3,686,637.87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1,145,811.34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6,663,922.23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6,077,107.86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412,804,512.48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448,065,887.45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919,669.23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282,820.62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5,841.27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28,560.38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Police, Roads and 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26,522,898.56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26,223,630.44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193,997.36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129,203.80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1,261,530.82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1,371,970.70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9,747,433.92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6,324,314.36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Arts, Culture and Recreation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1,029,939.76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116,687.64 </w:t>
            </w:r>
          </w:p>
        </w:tc>
      </w:tr>
      <w:tr w:rsidR="00CE44E9" w:rsidRPr="007979AA" w:rsidTr="00B87458">
        <w:trPr>
          <w:trHeight w:val="413"/>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ED3DC6" w:rsidRDefault="00CE44E9" w:rsidP="00B87458">
            <w:pPr>
              <w:spacing w:before="60" w:after="60"/>
              <w:rPr>
                <w:rFonts w:ascii="Arial Narrow" w:eastAsia="Calibri" w:hAnsi="Arial Narrow" w:cs="Arial"/>
                <w:b/>
                <w:bCs/>
                <w:sz w:val="20"/>
                <w:szCs w:val="20"/>
              </w:rPr>
            </w:pPr>
            <w:r w:rsidRPr="00ED3DC6">
              <w:rPr>
                <w:rFonts w:ascii="Arial Narrow" w:eastAsia="Calibri" w:hAnsi="Arial Narrow" w:cs="Arial"/>
                <w:b/>
                <w:bCs/>
                <w:sz w:val="20"/>
                <w:szCs w:val="20"/>
              </w:rPr>
              <w:t>Gauteng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b/>
                <w:bCs/>
                <w:sz w:val="20"/>
                <w:szCs w:val="20"/>
              </w:rPr>
            </w:pPr>
            <w:r w:rsidRPr="00ED3DC6">
              <w:rPr>
                <w:rFonts w:ascii="Arial Narrow" w:eastAsia="Calibri" w:hAnsi="Arial Narrow" w:cs="Arial"/>
                <w:sz w:val="20"/>
                <w:szCs w:val="20"/>
              </w:rPr>
              <w:t>Agriculture and Rural Development</w:t>
            </w:r>
          </w:p>
        </w:tc>
        <w:tc>
          <w:tcPr>
            <w:tcW w:w="1555" w:type="dxa"/>
            <w:noWrap/>
          </w:tcPr>
          <w:p w:rsidR="00CE44E9" w:rsidRPr="00ED3DC6" w:rsidRDefault="00CE44E9" w:rsidP="00B87458">
            <w:pPr>
              <w:spacing w:before="60" w:after="60"/>
              <w:rPr>
                <w:rFonts w:ascii="Arial Narrow" w:eastAsia="Calibri" w:hAnsi="Arial Narrow" w:cs="Arial"/>
                <w:b/>
                <w:bCs/>
                <w:sz w:val="20"/>
                <w:szCs w:val="20"/>
              </w:rPr>
            </w:pPr>
            <w:r w:rsidRPr="00ED3DC6">
              <w:rPr>
                <w:rFonts w:ascii="Arial Narrow" w:eastAsia="Calibri" w:hAnsi="Arial Narrow" w:cs="Arial"/>
                <w:sz w:val="20"/>
                <w:szCs w:val="20"/>
              </w:rPr>
              <w:t xml:space="preserve">3,992,205.46 </w:t>
            </w:r>
          </w:p>
        </w:tc>
        <w:tc>
          <w:tcPr>
            <w:tcW w:w="1917" w:type="dxa"/>
            <w:noWrap/>
          </w:tcPr>
          <w:p w:rsidR="00CE44E9" w:rsidRPr="00ED3DC6" w:rsidRDefault="00CE44E9" w:rsidP="00B87458">
            <w:pPr>
              <w:spacing w:before="60" w:after="60"/>
              <w:rPr>
                <w:rFonts w:ascii="Arial Narrow" w:eastAsia="Calibri" w:hAnsi="Arial Narrow" w:cs="Arial"/>
                <w:b/>
                <w:bCs/>
                <w:sz w:val="20"/>
                <w:szCs w:val="20"/>
              </w:rPr>
            </w:pPr>
            <w:r w:rsidRPr="00ED3DC6">
              <w:rPr>
                <w:rFonts w:ascii="Arial Narrow" w:eastAsia="Calibri" w:hAnsi="Arial Narrow" w:cs="Arial"/>
                <w:sz w:val="20"/>
                <w:szCs w:val="20"/>
              </w:rPr>
              <w:t xml:space="preserve">836,076.84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280,270.04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954,484.62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26,033,682.97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77,501,930.44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E-Government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4,989,355.16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6,067,932.15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14,159.93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40,695.39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21,995,472.75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24,786,642.54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2,435,543,294.00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2,763,210,382.50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129,667.01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58,370.18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Infrastructure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28,723,049.87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29,295,939.15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713,338.14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2,973,302.02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441,709.44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256,062.17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Roads and 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2,286,377.10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8,877,497.13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1,435,832.52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1,268,506.95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Arts, Culture and Recreation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6,240,455.90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706,086.43 </w:t>
            </w:r>
          </w:p>
        </w:tc>
      </w:tr>
      <w:tr w:rsidR="00CE44E9" w:rsidRPr="007979AA" w:rsidTr="00B87458">
        <w:trPr>
          <w:trHeight w:val="349"/>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KwaZulu-Natal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and Rural Development</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7,863,906.28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8,384,542.17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Arts and Culture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221,106.35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11,173.32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1,130,739.09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563,901.35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 and Liaison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260,549.36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Tourism and Environmental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1,150,064.72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648,309.55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45,741,563.54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42,181,719.06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Finance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1,374,313.87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615,340.64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1,443,466,029.40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1,651,250,447.20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1,753,104.14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487,113.17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1,133,266.41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1,083,368.74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1,273,475.07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671,446.33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4,797,599.77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6,104,190.08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and Recreation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3,602,378.24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1,135,364.42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120,146,901.38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114,084,581.30 </w:t>
            </w:r>
          </w:p>
        </w:tc>
      </w:tr>
      <w:tr w:rsidR="00CE44E9" w:rsidRPr="007979AA" w:rsidTr="00B87458">
        <w:trPr>
          <w:trHeight w:val="441"/>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Limpopo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and Rural Development</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10,515,966.75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2,981,688.70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Human Settlements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4,358,545.18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1,093,578.77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88,452.17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Environment and 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21,306,916.98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17,419,216.45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21,490,655.33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12,084,855.07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912,828,046.45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834,820,747.92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2,626,255.86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207,299.01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61,181.02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83,157.58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 Roads and Infrastructure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5,185,352.43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1,313,613.05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644,331.84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171,781.02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Arts and Culture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381,760.10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19,709.53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 and Community Safety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134,489,211.93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118,715,430.12 </w:t>
            </w:r>
          </w:p>
        </w:tc>
      </w:tr>
      <w:tr w:rsidR="00CE44E9" w:rsidRPr="007979AA" w:rsidTr="00B87458">
        <w:trPr>
          <w:trHeight w:val="491"/>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Mpumalanga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Rural Development, Land and Environmental Affairs</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2,512,911.27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1,108,970.79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535,146.73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448,455.16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 Security and Liaison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21,406,246.29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27,837,333.02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Culture, Sport and Recreation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3,558,405.69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1,892,291.27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and 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786,429.45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8,047.20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9,496,317.00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10,047,619.84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425,888,487.00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495,675,959.89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2,742,950.17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1,418,061.16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689,522.46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502,770.65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867,846.68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62,664.65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 Roads and 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25,012,772.13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28,574,276.03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1,779,451.45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13,441,056.28 </w:t>
            </w:r>
          </w:p>
        </w:tc>
      </w:tr>
      <w:tr w:rsidR="00CE44E9" w:rsidRPr="007979AA" w:rsidTr="00B87458">
        <w:trPr>
          <w:trHeight w:val="413"/>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North West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and Rural Development</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2,926,869.15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3,070,211.19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Arts, Culture, Sports and Recreation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280,463.39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496,449.11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 and Transport Management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48,715,985.02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40,785,276.66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 and 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1,154,554.32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1,826,152.58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Environment, Conservation and 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815,951.62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509,190.39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12,774,961.63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7,752,329.84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493,620,723.57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648,705,462.33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29,555.38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916,062.45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1,049,945.94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3,060,051.70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1,629,648.73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 and Roads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14,270,996.60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5,642,349.40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1,116,656.03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1,731,924.82 </w:t>
            </w:r>
          </w:p>
        </w:tc>
      </w:tr>
      <w:tr w:rsidR="00CE44E9" w:rsidRPr="007979AA" w:rsidTr="00B87458">
        <w:trPr>
          <w:trHeight w:val="463"/>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Northern Cape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Land Reform and Rural Development</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1,419,518.86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751,237.42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4,511,565.10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3,364,596.93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Environment and Nature Conservation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461,153.72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170,158.66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189,446,067.37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223,175,196.17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891,074.34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549,628.18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64,866.20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Roads and Public Works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1,556,828.92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419,632.24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193,823.21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193,274.31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 Safety and Liaison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1,630,716.95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3,176,554.74 </w:t>
            </w:r>
          </w:p>
        </w:tc>
      </w:tr>
      <w:tr w:rsidR="00CE44E9" w:rsidRPr="007979AA" w:rsidTr="00B87458">
        <w:trPr>
          <w:trHeight w:val="474"/>
        </w:trPr>
        <w:tc>
          <w:tcPr>
            <w:tcW w:w="1544" w:type="dxa"/>
            <w:vMerge w:val="restart"/>
            <w:tcBorders>
              <w:top w:val="thickThin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Western Cape Provincial Administration</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3,802,633.61 </w:t>
            </w:r>
          </w:p>
        </w:tc>
        <w:tc>
          <w:tcPr>
            <w:tcW w:w="1917"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2,770,686.47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Community Safety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1,857,729.80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1,460,201.91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Cultural Affairs and 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1,686,526.30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135,725.04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 and 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131,377.14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174,957.97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11,463,379.32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5,749,486.77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Environmental Affairs and Development Planning</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326,097.58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63,502.19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1,157,736,241.00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1,243,312,634.20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5,295,675.96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1,742,808.98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Local Government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943,099.21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851,712.07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Provincial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669,139.26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389,753.04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8,378,531.97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9,032,576.23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Pr>
                <w:rFonts w:ascii="Arial Narrow" w:eastAsia="Calibri" w:hAnsi="Arial Narrow" w:cs="Arial"/>
                <w:sz w:val="20"/>
                <w:szCs w:val="20"/>
              </w:rPr>
              <w:t>Department of t</w:t>
            </w:r>
            <w:r w:rsidRPr="007979AA">
              <w:rPr>
                <w:rFonts w:ascii="Arial Narrow" w:eastAsia="Calibri" w:hAnsi="Arial Narrow" w:cs="Arial"/>
                <w:sz w:val="20"/>
                <w:szCs w:val="20"/>
              </w:rPr>
              <w:t>he Premier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3,517,839.63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1,247,110.44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 and Public Works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12,378,007.36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9,447,650.95 </w:t>
            </w:r>
          </w:p>
        </w:tc>
      </w:tr>
      <w:tr w:rsidR="00CE44E9" w:rsidRPr="007979AA" w:rsidTr="00B87458">
        <w:trPr>
          <w:trHeight w:val="330"/>
        </w:trPr>
        <w:tc>
          <w:tcPr>
            <w:tcW w:w="8950" w:type="dxa"/>
            <w:gridSpan w:val="4"/>
            <w:tcBorders>
              <w:top w:val="thickThinSmallGap" w:sz="18" w:space="0" w:color="auto"/>
              <w:bottom w:val="thinThickSmallGap" w:sz="18" w:space="0" w:color="auto"/>
            </w:tcBorders>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w:t>
            </w:r>
          </w:p>
        </w:tc>
      </w:tr>
      <w:tr w:rsidR="00CE44E9" w:rsidRPr="007979AA" w:rsidTr="00B87458">
        <w:trPr>
          <w:trHeight w:val="393"/>
        </w:trPr>
        <w:tc>
          <w:tcPr>
            <w:tcW w:w="1544" w:type="dxa"/>
            <w:vMerge w:val="restart"/>
            <w:tcBorders>
              <w:top w:val="thinThickSmallGap" w:sz="18" w:space="0" w:color="auto"/>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spacing w:before="60" w:after="60"/>
              <w:rPr>
                <w:rFonts w:ascii="Arial Narrow" w:eastAsia="Calibri" w:hAnsi="Arial Narrow" w:cs="Arial"/>
                <w:b/>
                <w:bCs/>
                <w:sz w:val="20"/>
                <w:szCs w:val="20"/>
              </w:rPr>
            </w:pPr>
            <w:r w:rsidRPr="007979AA">
              <w:rPr>
                <w:rFonts w:ascii="Arial Narrow" w:eastAsia="Calibri" w:hAnsi="Arial Narrow" w:cs="Arial"/>
                <w:b/>
                <w:bCs/>
                <w:sz w:val="20"/>
                <w:szCs w:val="20"/>
              </w:rPr>
              <w:t>National Departments</w:t>
            </w:r>
          </w:p>
        </w:tc>
        <w:tc>
          <w:tcPr>
            <w:tcW w:w="3934" w:type="dxa"/>
            <w:tcBorders>
              <w:left w:val="thickThinSmallGap" w:sz="18" w:space="0" w:color="auto"/>
            </w:tcBorders>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Forestry and Fisheries</w:t>
            </w:r>
          </w:p>
        </w:tc>
        <w:tc>
          <w:tcPr>
            <w:tcW w:w="1555" w:type="dxa"/>
            <w:noWrap/>
          </w:tcPr>
          <w:p w:rsidR="00CE44E9" w:rsidRPr="00ED3DC6"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17,779,803.32 </w:t>
            </w:r>
          </w:p>
        </w:tc>
        <w:tc>
          <w:tcPr>
            <w:tcW w:w="1917" w:type="dxa"/>
            <w:noWrap/>
          </w:tcPr>
          <w:p w:rsidR="00CE44E9" w:rsidRPr="00ED3DC6"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Agriculture, Land Reform and Rural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80,389,519.07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40,098,966.40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Basic Education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7,897,621.06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5,681,828.67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Civilian Secretariat for the Police Service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794,037.21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400,803.16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Communications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541,647.64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Communications and Digital Technologies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639,577.01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138,099.45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Cooperative Governance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4,412,709.39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4,270,256.25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Correctional Services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193,914,775.91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211,578,343.23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Economic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280,232.85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Employment and Labour</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55,125,049.13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53,047,865.35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Energy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612,460.36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Environment, Forestry and Fisheries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10,565,727.39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12,219,404.08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Government Communication and Information System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2,950,394.84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702,593.22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Health</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20,001,395.84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25,895,317.01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Higher Education and Training</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16,976,257.16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9,595,677.26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Home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85,684,534.47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50,468,033.79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Human Settlements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2,257,343.29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1,731,822.84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Independent Police Investigative Directorate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1,816,320.14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1,339,076.49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International Relations and Cooperation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11,755,886.85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8,905,729.97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Justice and Constitutional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18,089,042.44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9,119,949.42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Military Veterans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1,804,463.19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917,236.95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Mineral Resources and Energy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4,878,887.82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2,823,676.98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National School of Government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225,216.84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14,284.23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National Treasury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16,347,923.84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3,179,421.72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Chief Justice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2,194,424.04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856,071.81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Office of the Public Service Commission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380,286.14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118,374.03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Planning, Monitoring and Evaluation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1,099,056.25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408,591.27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Police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1,058,957,936.40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703,439,233.53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Enterprises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633,577.65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54,097.31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Service and Administration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1,182,159.50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941,606.03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Public Works and Infrastructure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41,830,007.47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22,785,119.14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Science and Innovation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634,812.48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176,458.79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Small Business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258,870.39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80,442.36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Social Development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3,978,318.46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5,318,308.53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and Recreation South Africa</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740,229.15 </w:t>
            </w:r>
          </w:p>
        </w:tc>
        <w:tc>
          <w:tcPr>
            <w:tcW w:w="1917" w:type="dxa"/>
            <w:noWrap/>
          </w:tcPr>
          <w:p w:rsidR="00CE44E9" w:rsidRPr="007979AA" w:rsidRDefault="00CE44E9" w:rsidP="00B87458">
            <w:pPr>
              <w:spacing w:before="60" w:after="60"/>
              <w:rPr>
                <w:rFonts w:ascii="Arial Narrow" w:eastAsia="Calibri" w:hAnsi="Arial Narrow" w:cs="Arial"/>
                <w:sz w:val="20"/>
                <w:szCs w:val="20"/>
              </w:rPr>
            </w:pP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Sport, Arts and Culture</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2,211,959.45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1,123,723.21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Statistics South Africa</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1,750,411.32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1,208,001.54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The Presidency</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11,214,516.50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4,723,079.39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Tourism</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711,130.74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1,497,175.97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Trade, Industry and Competition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1,058,217.03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282,276.81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Traditional Affairs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550,756.28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23,888.86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Transport</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3,285,644.20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2,572,738.80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Water and Sanitation</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33,960,826.74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31,247,215.11 </w:t>
            </w:r>
          </w:p>
        </w:tc>
      </w:tr>
      <w:tr w:rsidR="00CE44E9" w:rsidRPr="007979AA" w:rsidTr="00B87458">
        <w:trPr>
          <w:trHeight w:val="330"/>
        </w:trPr>
        <w:tc>
          <w:tcPr>
            <w:tcW w:w="1544" w:type="dxa"/>
            <w:vMerge/>
            <w:tcBorders>
              <w:top w:val="nil"/>
              <w:left w:val="thinThickSmallGap" w:sz="18" w:space="0" w:color="auto"/>
              <w:bottom w:val="thickThinSmallGap" w:sz="18" w:space="0" w:color="auto"/>
              <w:right w:val="thickThinSmallGap" w:sz="18" w:space="0" w:color="auto"/>
            </w:tcBorders>
            <w:shd w:val="clear" w:color="auto" w:fill="D9D9D9" w:themeFill="background1" w:themeFillShade="D9"/>
            <w:hideMark/>
          </w:tcPr>
          <w:p w:rsidR="00CE44E9" w:rsidRPr="007979AA" w:rsidRDefault="00CE44E9" w:rsidP="00B87458">
            <w:pPr>
              <w:pStyle w:val="ListParagraph"/>
              <w:spacing w:before="60" w:after="60"/>
              <w:contextualSpacing w:val="0"/>
              <w:rPr>
                <w:rFonts w:ascii="Arial Narrow" w:eastAsia="Calibri" w:hAnsi="Arial Narrow" w:cs="Arial"/>
                <w:b/>
                <w:bCs/>
                <w:sz w:val="20"/>
                <w:szCs w:val="20"/>
              </w:rPr>
            </w:pPr>
          </w:p>
        </w:tc>
        <w:tc>
          <w:tcPr>
            <w:tcW w:w="3934" w:type="dxa"/>
            <w:tcBorders>
              <w:left w:val="thickThinSmallGap" w:sz="18" w:space="0" w:color="auto"/>
            </w:tcBorders>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Women, Youth and Persons with Disabilities</w:t>
            </w:r>
          </w:p>
        </w:tc>
        <w:tc>
          <w:tcPr>
            <w:tcW w:w="1555"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190,896.72 </w:t>
            </w:r>
          </w:p>
        </w:tc>
        <w:tc>
          <w:tcPr>
            <w:tcW w:w="1917" w:type="dxa"/>
            <w:noWrap/>
            <w:hideMark/>
          </w:tcPr>
          <w:p w:rsidR="00CE44E9" w:rsidRPr="007979AA" w:rsidRDefault="00CE44E9" w:rsidP="00B87458">
            <w:pPr>
              <w:spacing w:before="60" w:after="60"/>
              <w:rPr>
                <w:rFonts w:ascii="Arial Narrow" w:eastAsia="Calibri" w:hAnsi="Arial Narrow" w:cs="Arial"/>
                <w:sz w:val="20"/>
                <w:szCs w:val="20"/>
              </w:rPr>
            </w:pPr>
            <w:r w:rsidRPr="007979AA">
              <w:rPr>
                <w:rFonts w:ascii="Arial Narrow" w:eastAsia="Calibri" w:hAnsi="Arial Narrow" w:cs="Arial"/>
                <w:sz w:val="20"/>
                <w:szCs w:val="20"/>
              </w:rPr>
              <w:t xml:space="preserve">44,683.56 </w:t>
            </w:r>
          </w:p>
        </w:tc>
      </w:tr>
    </w:tbl>
    <w:p w:rsidR="00CE44E9" w:rsidRDefault="00CE44E9" w:rsidP="00CE44E9">
      <w:pPr>
        <w:pStyle w:val="ListParagraph"/>
        <w:spacing w:after="0" w:line="240" w:lineRule="auto"/>
        <w:contextualSpacing w:val="0"/>
        <w:jc w:val="center"/>
        <w:rPr>
          <w:rFonts w:ascii="Arial" w:hAnsi="Arial" w:cs="Arial"/>
          <w:i/>
          <w:sz w:val="18"/>
          <w:szCs w:val="18"/>
        </w:rPr>
      </w:pPr>
      <w:r>
        <w:rPr>
          <w:rFonts w:ascii="Arial" w:hAnsi="Arial" w:cs="Arial"/>
          <w:i/>
          <w:sz w:val="18"/>
          <w:szCs w:val="18"/>
        </w:rPr>
        <w:t>Data Source: PERSAL</w:t>
      </w:r>
    </w:p>
    <w:p w:rsidR="00CE44E9" w:rsidRPr="006401D3" w:rsidRDefault="00CE44E9" w:rsidP="00CE44E9">
      <w:pPr>
        <w:pStyle w:val="ListParagraph"/>
        <w:spacing w:after="0" w:line="240" w:lineRule="auto"/>
        <w:contextualSpacing w:val="0"/>
        <w:jc w:val="center"/>
        <w:rPr>
          <w:rFonts w:ascii="Arial" w:hAnsi="Arial" w:cs="Arial"/>
          <w:i/>
          <w:sz w:val="18"/>
          <w:szCs w:val="18"/>
        </w:rPr>
      </w:pPr>
      <w:r>
        <w:rPr>
          <w:rFonts w:ascii="Arial" w:hAnsi="Arial" w:cs="Arial"/>
          <w:i/>
          <w:sz w:val="18"/>
          <w:szCs w:val="18"/>
        </w:rPr>
        <w:t>Compile by the DPSA</w:t>
      </w:r>
    </w:p>
    <w:p w:rsidR="00CE44E9" w:rsidRDefault="00CE44E9" w:rsidP="00CE44E9">
      <w:pPr>
        <w:pStyle w:val="ListParagraph"/>
        <w:spacing w:after="240" w:line="240" w:lineRule="auto"/>
        <w:contextualSpacing w:val="0"/>
        <w:jc w:val="center"/>
        <w:rPr>
          <w:rFonts w:ascii="Arial" w:hAnsi="Arial" w:cs="Arial"/>
          <w:i/>
          <w:sz w:val="18"/>
          <w:szCs w:val="18"/>
        </w:rPr>
      </w:pPr>
      <w:r>
        <w:rPr>
          <w:rFonts w:ascii="Arial" w:hAnsi="Arial" w:cs="Arial"/>
          <w:i/>
          <w:sz w:val="18"/>
          <w:szCs w:val="18"/>
        </w:rPr>
        <w:t>Excludes Defence and the State Security Agency</w:t>
      </w:r>
    </w:p>
    <w:p w:rsidR="00CE44E9" w:rsidRDefault="00CE44E9" w:rsidP="00CE44E9">
      <w:pPr>
        <w:pStyle w:val="ListParagraph"/>
        <w:spacing w:after="240" w:line="240" w:lineRule="auto"/>
        <w:contextualSpacing w:val="0"/>
        <w:jc w:val="center"/>
        <w:rPr>
          <w:rFonts w:ascii="Arial" w:hAnsi="Arial" w:cs="Arial"/>
          <w:i/>
          <w:sz w:val="18"/>
          <w:szCs w:val="18"/>
        </w:rPr>
      </w:pPr>
    </w:p>
    <w:p w:rsidR="00CE44E9" w:rsidRDefault="00CE44E9" w:rsidP="00CE44E9">
      <w:pPr>
        <w:pStyle w:val="ListParagraph"/>
        <w:numPr>
          <w:ilvl w:val="0"/>
          <w:numId w:val="1"/>
        </w:numPr>
        <w:spacing w:after="240"/>
        <w:ind w:hanging="720"/>
        <w:contextualSpacing w:val="0"/>
        <w:jc w:val="both"/>
        <w:rPr>
          <w:rFonts w:ascii="Arial" w:eastAsia="Calibri" w:hAnsi="Arial" w:cs="Arial"/>
          <w:sz w:val="24"/>
          <w:szCs w:val="24"/>
        </w:rPr>
      </w:pPr>
      <w:r w:rsidRPr="00AE7711">
        <w:rPr>
          <w:rFonts w:ascii="Arial" w:eastAsia="Calibri" w:hAnsi="Arial" w:cs="Arial"/>
          <w:sz w:val="24"/>
          <w:szCs w:val="24"/>
        </w:rPr>
        <w:t>Overtime work is informed by the service delivery requirements of a department. Hence</w:t>
      </w:r>
      <w:r>
        <w:rPr>
          <w:rFonts w:ascii="Arial" w:eastAsia="Calibri" w:hAnsi="Arial" w:cs="Arial"/>
          <w:sz w:val="24"/>
          <w:szCs w:val="24"/>
        </w:rPr>
        <w:t>,</w:t>
      </w:r>
      <w:r w:rsidRPr="00AE7711">
        <w:rPr>
          <w:rFonts w:ascii="Arial" w:eastAsia="Calibri" w:hAnsi="Arial" w:cs="Arial"/>
          <w:sz w:val="24"/>
          <w:szCs w:val="24"/>
        </w:rPr>
        <w:t xml:space="preserve"> Regulation 49 of the Public Service Regulations, 2016 require</w:t>
      </w:r>
      <w:r>
        <w:rPr>
          <w:rFonts w:ascii="Arial" w:eastAsia="Calibri" w:hAnsi="Arial" w:cs="Arial"/>
          <w:sz w:val="24"/>
          <w:szCs w:val="24"/>
        </w:rPr>
        <w:t>s</w:t>
      </w:r>
      <w:r w:rsidRPr="00AE7711">
        <w:rPr>
          <w:rFonts w:ascii="Arial" w:eastAsia="Calibri" w:hAnsi="Arial" w:cs="Arial"/>
          <w:sz w:val="24"/>
          <w:szCs w:val="24"/>
        </w:rPr>
        <w:t xml:space="preserve"> that a department must have an approved overtime policy in place. The said </w:t>
      </w:r>
      <w:r>
        <w:rPr>
          <w:rFonts w:ascii="Arial" w:eastAsia="Calibri" w:hAnsi="Arial" w:cs="Arial"/>
          <w:sz w:val="24"/>
          <w:szCs w:val="24"/>
        </w:rPr>
        <w:t xml:space="preserve">departmental </w:t>
      </w:r>
      <w:r w:rsidRPr="00AE7711">
        <w:rPr>
          <w:rFonts w:ascii="Arial" w:eastAsia="Calibri" w:hAnsi="Arial" w:cs="Arial"/>
          <w:sz w:val="24"/>
          <w:szCs w:val="24"/>
        </w:rPr>
        <w:t>overtime policy must be in keeping with the overarching policy requirements set out in the Public Service Regulations,</w:t>
      </w:r>
      <w:r>
        <w:rPr>
          <w:rFonts w:ascii="Arial" w:eastAsia="Calibri" w:hAnsi="Arial" w:cs="Arial"/>
          <w:sz w:val="24"/>
          <w:szCs w:val="24"/>
        </w:rPr>
        <w:t xml:space="preserve"> 2016,</w:t>
      </w:r>
      <w:r w:rsidRPr="00AE7711">
        <w:rPr>
          <w:rFonts w:ascii="Arial" w:eastAsia="Calibri" w:hAnsi="Arial" w:cs="Arial"/>
          <w:sz w:val="24"/>
          <w:szCs w:val="24"/>
        </w:rPr>
        <w:t xml:space="preserve"> applicable collective agreements and the Basic Conditions of Employment Act, 1997, as amended.</w:t>
      </w:r>
    </w:p>
    <w:p w:rsidR="00CE44E9" w:rsidRPr="00AE7711" w:rsidRDefault="00CE44E9" w:rsidP="00CE44E9">
      <w:pPr>
        <w:pStyle w:val="ListParagraph"/>
        <w:spacing w:after="240"/>
        <w:contextualSpacing w:val="0"/>
        <w:jc w:val="both"/>
        <w:rPr>
          <w:rFonts w:ascii="Arial" w:eastAsia="Calibri" w:hAnsi="Arial" w:cs="Arial"/>
          <w:sz w:val="24"/>
          <w:szCs w:val="24"/>
        </w:rPr>
      </w:pPr>
    </w:p>
    <w:p w:rsidR="00CE44E9" w:rsidRDefault="00CE44E9" w:rsidP="00CE44E9">
      <w:pPr>
        <w:pStyle w:val="ListParagraph"/>
        <w:numPr>
          <w:ilvl w:val="0"/>
          <w:numId w:val="2"/>
        </w:numPr>
        <w:spacing w:after="240"/>
        <w:contextualSpacing w:val="0"/>
        <w:jc w:val="both"/>
        <w:rPr>
          <w:rFonts w:ascii="Arial" w:eastAsia="Calibri" w:hAnsi="Arial" w:cs="Arial"/>
          <w:sz w:val="24"/>
          <w:szCs w:val="24"/>
        </w:rPr>
      </w:pPr>
      <w:r w:rsidRPr="00AE7711">
        <w:rPr>
          <w:rFonts w:ascii="Arial" w:eastAsia="Calibri" w:hAnsi="Arial" w:cs="Arial"/>
          <w:sz w:val="24"/>
          <w:szCs w:val="24"/>
        </w:rPr>
        <w:t xml:space="preserve">The overarching policy requirements were established with the introduction of the </w:t>
      </w:r>
      <w:r>
        <w:rPr>
          <w:rFonts w:ascii="Arial" w:eastAsia="Calibri" w:hAnsi="Arial" w:cs="Arial"/>
          <w:sz w:val="24"/>
          <w:szCs w:val="24"/>
        </w:rPr>
        <w:t xml:space="preserve">Public Service </w:t>
      </w:r>
      <w:r w:rsidRPr="00AE7711">
        <w:rPr>
          <w:rFonts w:ascii="Arial" w:eastAsia="Calibri" w:hAnsi="Arial" w:cs="Arial"/>
          <w:sz w:val="24"/>
          <w:szCs w:val="24"/>
        </w:rPr>
        <w:t xml:space="preserve">Regulatory Framework in 1999 and </w:t>
      </w:r>
      <w:r>
        <w:rPr>
          <w:rFonts w:ascii="Arial" w:eastAsia="Calibri" w:hAnsi="Arial" w:cs="Arial"/>
          <w:sz w:val="24"/>
          <w:szCs w:val="24"/>
        </w:rPr>
        <w:t xml:space="preserve">the </w:t>
      </w:r>
      <w:r w:rsidRPr="00AE7711">
        <w:rPr>
          <w:rFonts w:ascii="Arial" w:eastAsia="Calibri" w:hAnsi="Arial" w:cs="Arial"/>
          <w:sz w:val="24"/>
          <w:szCs w:val="24"/>
        </w:rPr>
        <w:t xml:space="preserve">conclusion of Public Service Coordinating Bargaining Council (PSCBC) Resolution 3 of 1999. </w:t>
      </w:r>
    </w:p>
    <w:p w:rsidR="00CE44E9" w:rsidRPr="00AE7711" w:rsidRDefault="00CE44E9" w:rsidP="00CE44E9">
      <w:pPr>
        <w:pStyle w:val="ListParagraph"/>
        <w:spacing w:after="240"/>
        <w:ind w:left="1440"/>
        <w:contextualSpacing w:val="0"/>
        <w:jc w:val="both"/>
        <w:rPr>
          <w:rFonts w:ascii="Arial" w:eastAsia="Calibri" w:hAnsi="Arial" w:cs="Arial"/>
          <w:sz w:val="24"/>
          <w:szCs w:val="24"/>
        </w:rPr>
      </w:pPr>
    </w:p>
    <w:p w:rsidR="00CE44E9" w:rsidRDefault="00CE44E9" w:rsidP="00CE44E9">
      <w:pPr>
        <w:pStyle w:val="ListParagraph"/>
        <w:numPr>
          <w:ilvl w:val="0"/>
          <w:numId w:val="2"/>
        </w:numPr>
        <w:spacing w:after="240"/>
        <w:ind w:left="567"/>
        <w:jc w:val="both"/>
        <w:rPr>
          <w:rFonts w:ascii="Arial" w:eastAsia="Calibri" w:hAnsi="Arial" w:cs="Arial"/>
          <w:sz w:val="24"/>
          <w:szCs w:val="24"/>
        </w:rPr>
      </w:pPr>
      <w:r w:rsidRPr="00EB3CEA">
        <w:rPr>
          <w:rFonts w:ascii="Arial" w:eastAsia="Calibri" w:hAnsi="Arial" w:cs="Arial"/>
          <w:sz w:val="24"/>
          <w:szCs w:val="24"/>
        </w:rPr>
        <w:t>The said policy requirements are reviewed as and when required, for example, with the introduction of the Basic Conditions of Employment Act, 1997, as amended, in the Public Service in July 2000 and with the promulgation of the 2016 Public Service Regulations. The applicable Regulation is currently being reviewed.</w:t>
      </w:r>
    </w:p>
    <w:p w:rsidR="009E4988" w:rsidRPr="009E4988" w:rsidRDefault="009E4988" w:rsidP="009E4988">
      <w:pPr>
        <w:spacing w:after="240"/>
        <w:jc w:val="both"/>
        <w:rPr>
          <w:rFonts w:ascii="Arial" w:eastAsia="Calibri" w:hAnsi="Arial" w:cs="Arial"/>
          <w:sz w:val="24"/>
          <w:szCs w:val="24"/>
        </w:rPr>
      </w:pPr>
      <w:r>
        <w:rPr>
          <w:rFonts w:ascii="Arial" w:eastAsia="Calibri" w:hAnsi="Arial" w:cs="Arial"/>
          <w:sz w:val="24"/>
          <w:szCs w:val="24"/>
        </w:rPr>
        <w:t xml:space="preserve">End </w:t>
      </w:r>
    </w:p>
    <w:p w:rsidR="00B5350F" w:rsidRDefault="00B5350F"/>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2AA0"/>
    <w:multiLevelType w:val="hybridMultilevel"/>
    <w:tmpl w:val="1380546E"/>
    <w:lvl w:ilvl="0" w:tplc="C28CE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62921"/>
    <w:multiLevelType w:val="hybridMultilevel"/>
    <w:tmpl w:val="250A4DF4"/>
    <w:lvl w:ilvl="0" w:tplc="3BDA67EE">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CE44E9"/>
    <w:rsid w:val="00164811"/>
    <w:rsid w:val="002073B0"/>
    <w:rsid w:val="008066A0"/>
    <w:rsid w:val="009E4988"/>
    <w:rsid w:val="00A0706F"/>
    <w:rsid w:val="00B5350F"/>
    <w:rsid w:val="00CE44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2021-09-16T08:35:00Z</dcterms:created>
  <dcterms:modified xsi:type="dcterms:W3CDTF">2021-09-16T08:35:00Z</dcterms:modified>
</cp:coreProperties>
</file>