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82DBC">
        <w:rPr>
          <w:b/>
          <w:bCs/>
          <w:sz w:val="24"/>
          <w:u w:val="single"/>
        </w:rPr>
        <w:t>1</w:t>
      </w:r>
      <w:r w:rsidR="00DB581B">
        <w:rPr>
          <w:b/>
          <w:bCs/>
          <w:sz w:val="24"/>
          <w:u w:val="single"/>
        </w:rPr>
        <w:t>86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DB581B" w:rsidRPr="00DB581B" w:rsidRDefault="00DB581B" w:rsidP="00DB581B">
      <w:pPr>
        <w:spacing w:before="100" w:beforeAutospacing="1" w:after="100" w:afterAutospacing="1"/>
        <w:ind w:left="709" w:hanging="709"/>
        <w:jc w:val="both"/>
        <w:outlineLvl w:val="0"/>
        <w:rPr>
          <w:color w:val="FF0000"/>
          <w:sz w:val="28"/>
          <w:szCs w:val="28"/>
          <w:u w:val="single"/>
        </w:rPr>
      </w:pPr>
      <w:r w:rsidRPr="00DB581B">
        <w:rPr>
          <w:b/>
          <w:sz w:val="24"/>
          <w:u w:val="single"/>
        </w:rPr>
        <w:t>Ms S P Kopane (DA) to ask the Minister of Health</w:t>
      </w:r>
      <w:r w:rsidR="00511AFF" w:rsidRPr="00DB581B">
        <w:rPr>
          <w:b/>
          <w:sz w:val="24"/>
          <w:u w:val="single"/>
        </w:rPr>
        <w:fldChar w:fldCharType="begin"/>
      </w:r>
      <w:r w:rsidRPr="00DB581B">
        <w:rPr>
          <w:u w:val="single"/>
        </w:rPr>
        <w:instrText xml:space="preserve"> XE "</w:instrText>
      </w:r>
      <w:r w:rsidRPr="00DB581B">
        <w:rPr>
          <w:b/>
          <w:sz w:val="24"/>
          <w:u w:val="single"/>
        </w:rPr>
        <w:instrText>Health</w:instrText>
      </w:r>
      <w:r w:rsidRPr="00DB581B">
        <w:rPr>
          <w:u w:val="single"/>
        </w:rPr>
        <w:instrText xml:space="preserve">" </w:instrText>
      </w:r>
      <w:r w:rsidR="00511AFF" w:rsidRPr="00DB581B">
        <w:rPr>
          <w:b/>
          <w:sz w:val="24"/>
          <w:u w:val="single"/>
        </w:rPr>
        <w:fldChar w:fldCharType="end"/>
      </w:r>
      <w:r w:rsidRPr="00DB581B">
        <w:rPr>
          <w:b/>
          <w:sz w:val="24"/>
          <w:u w:val="single"/>
        </w:rPr>
        <w:t>:</w:t>
      </w:r>
    </w:p>
    <w:p w:rsidR="00786C98" w:rsidRPr="005D785E" w:rsidRDefault="00DB581B" w:rsidP="00DB581B">
      <w:pPr>
        <w:spacing w:before="100" w:beforeAutospacing="1" w:after="100" w:afterAutospacing="1"/>
        <w:jc w:val="both"/>
        <w:outlineLvl w:val="0"/>
        <w:rPr>
          <w:rFonts w:ascii="Times New Roman" w:hAnsi="Times New Roman" w:cs="Times New Roman"/>
          <w:sz w:val="24"/>
        </w:rPr>
      </w:pPr>
      <w:r w:rsidRPr="00DB581B">
        <w:rPr>
          <w:sz w:val="24"/>
        </w:rPr>
        <w:t>(a) What number of supplier invoices currently remain unpaid by (i) his department and (ii) each entity reporting to him for more than (aa) 30 days, (bb) 60 days, (cc) 90 days and (dd) 120 days, (b) what is the total amount outstanding in each case and (c) by what date is it envisaged that the outstanding amounts will be settled?</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282DBC">
        <w:rPr>
          <w:color w:val="000000"/>
        </w:rPr>
        <w:t>1</w:t>
      </w:r>
      <w:r w:rsidR="00DB581B">
        <w:rPr>
          <w:color w:val="000000"/>
        </w:rPr>
        <w:t>90</w:t>
      </w:r>
      <w:r w:rsidR="009D2E42">
        <w:rPr>
          <w:color w:val="000000"/>
        </w:rPr>
        <w:t>E</w:t>
      </w:r>
      <w:r w:rsidR="00E238C2">
        <w:rPr>
          <w:color w:val="000000"/>
          <w:szCs w:val="20"/>
        </w:rPr>
        <w:t xml:space="preserve"> </w:t>
      </w:r>
    </w:p>
    <w:p w:rsidR="004C48A9" w:rsidRPr="004C48A9" w:rsidRDefault="004C48A9" w:rsidP="004C48A9">
      <w:pPr>
        <w:jc w:val="both"/>
        <w:outlineLvl w:val="0"/>
        <w:rPr>
          <w:b/>
          <w:bCs/>
          <w:sz w:val="24"/>
          <w:u w:val="single"/>
          <w:lang w:val="en-US"/>
        </w:rPr>
      </w:pPr>
      <w:r w:rsidRPr="004C48A9">
        <w:rPr>
          <w:b/>
          <w:bCs/>
          <w:sz w:val="24"/>
          <w:u w:val="single"/>
          <w:lang w:val="en-US"/>
        </w:rPr>
        <w:t>REPLY:</w:t>
      </w:r>
    </w:p>
    <w:p w:rsidR="007D5FA8" w:rsidRDefault="007D5FA8" w:rsidP="00B50A0D">
      <w:pPr>
        <w:jc w:val="both"/>
        <w:outlineLvl w:val="0"/>
        <w:rPr>
          <w:sz w:val="24"/>
        </w:rPr>
      </w:pPr>
    </w:p>
    <w:p w:rsidR="00E350D1" w:rsidRDefault="00E350D1" w:rsidP="00E350D1">
      <w:pPr>
        <w:jc w:val="both"/>
        <w:outlineLvl w:val="0"/>
        <w:rPr>
          <w:sz w:val="24"/>
        </w:rPr>
      </w:pPr>
      <w:r w:rsidRPr="00E350D1">
        <w:rPr>
          <w:sz w:val="24"/>
        </w:rPr>
        <w:t>The following table reflects the details in this regard.</w:t>
      </w:r>
    </w:p>
    <w:p w:rsidR="00E350D1" w:rsidRPr="00E350D1" w:rsidRDefault="00E350D1" w:rsidP="00E350D1">
      <w:pPr>
        <w:jc w:val="both"/>
        <w:outlineLvl w:val="0"/>
        <w:rPr>
          <w:sz w:val="24"/>
        </w:rPr>
      </w:pPr>
    </w:p>
    <w:tbl>
      <w:tblPr>
        <w:tblStyle w:val="TableGrid"/>
        <w:tblW w:w="15026" w:type="dxa"/>
        <w:tblInd w:w="-5" w:type="dxa"/>
        <w:tblLayout w:type="fixed"/>
        <w:tblLook w:val="04A0"/>
      </w:tblPr>
      <w:tblGrid>
        <w:gridCol w:w="2268"/>
        <w:gridCol w:w="2552"/>
        <w:gridCol w:w="1559"/>
        <w:gridCol w:w="1559"/>
        <w:gridCol w:w="1560"/>
        <w:gridCol w:w="2126"/>
        <w:gridCol w:w="3402"/>
      </w:tblGrid>
      <w:tr w:rsidR="00E350D1" w:rsidRPr="00E61A46" w:rsidTr="00F24C1E">
        <w:trPr>
          <w:tblHeader/>
        </w:trPr>
        <w:tc>
          <w:tcPr>
            <w:tcW w:w="2268" w:type="dxa"/>
            <w:tcBorders>
              <w:bottom w:val="single" w:sz="4" w:space="0" w:color="000000" w:themeColor="text1"/>
            </w:tcBorders>
            <w:shd w:val="clear" w:color="auto" w:fill="F2F2F2" w:themeFill="background1" w:themeFillShade="F2"/>
          </w:tcPr>
          <w:p w:rsidR="00E350D1" w:rsidRPr="00E61A46" w:rsidRDefault="00E350D1" w:rsidP="00F24C1E">
            <w:pPr>
              <w:spacing w:before="100" w:beforeAutospacing="1" w:after="100" w:afterAutospacing="1"/>
              <w:outlineLvl w:val="0"/>
              <w:rPr>
                <w:b/>
                <w:bCs/>
                <w:szCs w:val="22"/>
              </w:rPr>
            </w:pPr>
            <w:r w:rsidRPr="00E61A46">
              <w:rPr>
                <w:b/>
                <w:bCs/>
                <w:szCs w:val="22"/>
              </w:rPr>
              <w:t>(a)(i) NDOH</w:t>
            </w:r>
          </w:p>
        </w:tc>
        <w:tc>
          <w:tcPr>
            <w:tcW w:w="2552" w:type="dxa"/>
            <w:tcBorders>
              <w:bottom w:val="single" w:sz="4" w:space="0" w:color="000000" w:themeColor="text1"/>
              <w:right w:val="single" w:sz="4" w:space="0" w:color="auto"/>
            </w:tcBorders>
            <w:shd w:val="clear" w:color="auto" w:fill="F2F2F2" w:themeFill="background1" w:themeFillShade="F2"/>
          </w:tcPr>
          <w:p w:rsidR="00E350D1" w:rsidRPr="00E61A46" w:rsidRDefault="00E350D1" w:rsidP="00F24C1E">
            <w:pPr>
              <w:spacing w:before="100" w:beforeAutospacing="1" w:after="100" w:afterAutospacing="1"/>
              <w:outlineLvl w:val="0"/>
              <w:rPr>
                <w:b/>
                <w:bCs/>
                <w:szCs w:val="22"/>
              </w:rPr>
            </w:pPr>
            <w:r w:rsidRPr="00E61A46">
              <w:rPr>
                <w:b/>
                <w:bCs/>
                <w:szCs w:val="22"/>
              </w:rPr>
              <w:t xml:space="preserve">a)(i) What number of supplier invoices currently remain unpaid by his department </w:t>
            </w:r>
          </w:p>
        </w:tc>
        <w:tc>
          <w:tcPr>
            <w:tcW w:w="1559" w:type="dxa"/>
            <w:tcBorders>
              <w:left w:val="single" w:sz="4" w:space="0" w:color="auto"/>
              <w:bottom w:val="single" w:sz="4" w:space="0" w:color="000000" w:themeColor="text1"/>
            </w:tcBorders>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(aa) 30 days</w:t>
            </w:r>
          </w:p>
        </w:tc>
        <w:tc>
          <w:tcPr>
            <w:tcW w:w="1559" w:type="dxa"/>
            <w:tcBorders>
              <w:bottom w:val="single" w:sz="4" w:space="0" w:color="000000" w:themeColor="text1"/>
            </w:tcBorders>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(bb) 60 days</w:t>
            </w:r>
          </w:p>
        </w:tc>
        <w:tc>
          <w:tcPr>
            <w:tcW w:w="1560" w:type="dxa"/>
            <w:tcBorders>
              <w:bottom w:val="single" w:sz="4" w:space="0" w:color="000000" w:themeColor="text1"/>
            </w:tcBorders>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(cc) 90 days</w:t>
            </w:r>
          </w:p>
        </w:tc>
        <w:tc>
          <w:tcPr>
            <w:tcW w:w="2126" w:type="dxa"/>
            <w:tcBorders>
              <w:bottom w:val="single" w:sz="4" w:space="0" w:color="000000" w:themeColor="text1"/>
            </w:tcBorders>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(dd) 120 days</w:t>
            </w:r>
          </w:p>
        </w:tc>
        <w:tc>
          <w:tcPr>
            <w:tcW w:w="3402" w:type="dxa"/>
            <w:tcBorders>
              <w:bottom w:val="single" w:sz="4" w:space="0" w:color="000000" w:themeColor="text1"/>
            </w:tcBorders>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c) by what date is it envisaged that the outstanding amounts will be settled</w:t>
            </w:r>
          </w:p>
        </w:tc>
      </w:tr>
      <w:tr w:rsidR="00E350D1" w:rsidRPr="00E61A46" w:rsidTr="00F24C1E">
        <w:trPr>
          <w:tblHeader/>
        </w:trPr>
        <w:tc>
          <w:tcPr>
            <w:tcW w:w="2268" w:type="dxa"/>
            <w:shd w:val="clear" w:color="auto" w:fill="FFFFFF" w:themeFill="background1"/>
          </w:tcPr>
          <w:p w:rsidR="00E350D1" w:rsidRPr="00E61A46" w:rsidRDefault="00E350D1" w:rsidP="00F24C1E">
            <w:pPr>
              <w:spacing w:before="100" w:beforeAutospacing="1" w:after="100" w:afterAutospacing="1"/>
              <w:jc w:val="both"/>
              <w:outlineLvl w:val="0"/>
              <w:rPr>
                <w:bCs/>
                <w:szCs w:val="22"/>
              </w:rPr>
            </w:pPr>
            <w:r w:rsidRPr="00E61A46">
              <w:rPr>
                <w:bCs/>
                <w:szCs w:val="22"/>
              </w:rPr>
              <w:t>National Department of Health</w:t>
            </w:r>
          </w:p>
        </w:tc>
        <w:tc>
          <w:tcPr>
            <w:tcW w:w="2552" w:type="dxa"/>
            <w:vMerge w:val="restart"/>
            <w:tcBorders>
              <w:right w:val="single" w:sz="4" w:space="0" w:color="auto"/>
            </w:tcBorders>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3,513</w:t>
            </w:r>
          </w:p>
        </w:tc>
        <w:tc>
          <w:tcPr>
            <w:tcW w:w="1559" w:type="dxa"/>
            <w:tcBorders>
              <w:left w:val="single" w:sz="4" w:space="0" w:color="auto"/>
              <w:bottom w:val="single" w:sz="4" w:space="0" w:color="000000" w:themeColor="text1"/>
            </w:tcBorders>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Nil</w:t>
            </w:r>
          </w:p>
        </w:tc>
        <w:tc>
          <w:tcPr>
            <w:tcW w:w="1559" w:type="dxa"/>
            <w:tcBorders>
              <w:bottom w:val="single" w:sz="4" w:space="0" w:color="000000" w:themeColor="text1"/>
            </w:tcBorders>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Nil</w:t>
            </w:r>
          </w:p>
        </w:tc>
        <w:tc>
          <w:tcPr>
            <w:tcW w:w="1560" w:type="dxa"/>
            <w:tcBorders>
              <w:bottom w:val="single" w:sz="4" w:space="0" w:color="000000" w:themeColor="text1"/>
            </w:tcBorders>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Nil</w:t>
            </w:r>
          </w:p>
        </w:tc>
        <w:tc>
          <w:tcPr>
            <w:tcW w:w="2126" w:type="dxa"/>
            <w:tcBorders>
              <w:bottom w:val="single" w:sz="4" w:space="0" w:color="000000" w:themeColor="text1"/>
            </w:tcBorders>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3,513</w:t>
            </w:r>
          </w:p>
        </w:tc>
        <w:tc>
          <w:tcPr>
            <w:tcW w:w="3402" w:type="dxa"/>
            <w:vMerge w:val="restart"/>
            <w:shd w:val="clear" w:color="auto" w:fill="FFFFFF" w:themeFill="background1"/>
            <w:vAlign w:val="center"/>
          </w:tcPr>
          <w:p w:rsidR="00E350D1" w:rsidRPr="00E61A46" w:rsidRDefault="00E350D1" w:rsidP="00F24C1E">
            <w:pPr>
              <w:spacing w:before="100" w:beforeAutospacing="1" w:after="100" w:afterAutospacing="1"/>
              <w:outlineLvl w:val="0"/>
              <w:rPr>
                <w:bCs/>
                <w:szCs w:val="22"/>
              </w:rPr>
            </w:pPr>
            <w:r w:rsidRPr="00E61A46">
              <w:rPr>
                <w:bCs/>
                <w:szCs w:val="22"/>
              </w:rPr>
              <w:t>Payment dates will depend on the identification of funding to allow settlement of outstanding medico-legal claims received from Provincial Health Departments.</w:t>
            </w:r>
          </w:p>
        </w:tc>
      </w:tr>
      <w:tr w:rsidR="00E350D1" w:rsidRPr="00E61A46" w:rsidTr="00F24C1E">
        <w:trPr>
          <w:tblHeader/>
        </w:trPr>
        <w:tc>
          <w:tcPr>
            <w:tcW w:w="2268" w:type="dxa"/>
            <w:shd w:val="clear" w:color="auto" w:fill="FFFFFF" w:themeFill="background1"/>
          </w:tcPr>
          <w:p w:rsidR="00E350D1" w:rsidRPr="00E61A46" w:rsidRDefault="00E350D1" w:rsidP="00F24C1E">
            <w:pPr>
              <w:spacing w:before="100" w:beforeAutospacing="1" w:after="100" w:afterAutospacing="1"/>
              <w:outlineLvl w:val="0"/>
              <w:rPr>
                <w:b/>
                <w:bCs/>
                <w:szCs w:val="22"/>
              </w:rPr>
            </w:pPr>
            <w:r w:rsidRPr="00E61A46">
              <w:rPr>
                <w:b/>
                <w:bCs/>
                <w:szCs w:val="22"/>
              </w:rPr>
              <w:t>(b) what is the total amount outstanding in each case</w:t>
            </w:r>
          </w:p>
        </w:tc>
        <w:tc>
          <w:tcPr>
            <w:tcW w:w="2552" w:type="dxa"/>
            <w:vMerge/>
            <w:tcBorders>
              <w:right w:val="single" w:sz="4" w:space="0" w:color="auto"/>
            </w:tcBorders>
            <w:shd w:val="clear" w:color="auto" w:fill="F2F2F2" w:themeFill="background1" w:themeFillShade="F2"/>
            <w:vAlign w:val="center"/>
          </w:tcPr>
          <w:p w:rsidR="00E350D1" w:rsidRPr="00E61A46" w:rsidRDefault="00E350D1" w:rsidP="00F24C1E">
            <w:pPr>
              <w:spacing w:before="100" w:beforeAutospacing="1" w:after="100" w:afterAutospacing="1"/>
              <w:outlineLvl w:val="0"/>
              <w:rPr>
                <w:bCs/>
                <w:szCs w:val="22"/>
              </w:rPr>
            </w:pPr>
          </w:p>
        </w:tc>
        <w:tc>
          <w:tcPr>
            <w:tcW w:w="1559" w:type="dxa"/>
            <w:tcBorders>
              <w:left w:val="single" w:sz="4" w:space="0" w:color="auto"/>
            </w:tcBorders>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Nil</w:t>
            </w:r>
          </w:p>
        </w:tc>
        <w:tc>
          <w:tcPr>
            <w:tcW w:w="1559" w:type="dxa"/>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Nil</w:t>
            </w:r>
          </w:p>
        </w:tc>
        <w:tc>
          <w:tcPr>
            <w:tcW w:w="1560" w:type="dxa"/>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Nil</w:t>
            </w:r>
          </w:p>
        </w:tc>
        <w:tc>
          <w:tcPr>
            <w:tcW w:w="2126" w:type="dxa"/>
            <w:shd w:val="clear" w:color="auto" w:fill="FFFFFF" w:themeFill="background1"/>
            <w:vAlign w:val="center"/>
          </w:tcPr>
          <w:p w:rsidR="00E350D1" w:rsidRPr="00E61A46" w:rsidRDefault="00E350D1" w:rsidP="00F24C1E">
            <w:pPr>
              <w:spacing w:before="100" w:beforeAutospacing="1" w:after="100" w:afterAutospacing="1"/>
              <w:jc w:val="center"/>
              <w:outlineLvl w:val="0"/>
              <w:rPr>
                <w:bCs/>
                <w:szCs w:val="22"/>
              </w:rPr>
            </w:pPr>
            <w:r w:rsidRPr="00E61A46">
              <w:rPr>
                <w:bCs/>
                <w:szCs w:val="22"/>
              </w:rPr>
              <w:t>R72,080,183.92</w:t>
            </w:r>
          </w:p>
        </w:tc>
        <w:tc>
          <w:tcPr>
            <w:tcW w:w="3402" w:type="dxa"/>
            <w:vMerge/>
            <w:shd w:val="clear" w:color="auto" w:fill="F2F2F2" w:themeFill="background1" w:themeFillShade="F2"/>
            <w:vAlign w:val="center"/>
          </w:tcPr>
          <w:p w:rsidR="00E350D1" w:rsidRPr="00E61A46" w:rsidRDefault="00E350D1" w:rsidP="00F24C1E">
            <w:pPr>
              <w:spacing w:before="100" w:beforeAutospacing="1" w:after="100" w:afterAutospacing="1"/>
              <w:jc w:val="both"/>
              <w:outlineLvl w:val="0"/>
              <w:rPr>
                <w:bCs/>
                <w:szCs w:val="22"/>
              </w:rPr>
            </w:pPr>
          </w:p>
        </w:tc>
      </w:tr>
    </w:tbl>
    <w:p w:rsidR="00E350D1" w:rsidRDefault="00E350D1" w:rsidP="00E350D1">
      <w:pPr>
        <w:rPr>
          <w:rFonts w:eastAsia="Calibri"/>
          <w:b/>
          <w:bCs/>
          <w:u w:val="single"/>
        </w:rPr>
      </w:pPr>
    </w:p>
    <w:tbl>
      <w:tblPr>
        <w:tblStyle w:val="TableGrid"/>
        <w:tblW w:w="15168" w:type="dxa"/>
        <w:tblInd w:w="-147" w:type="dxa"/>
        <w:tblLayout w:type="fixed"/>
        <w:tblLook w:val="04A0"/>
      </w:tblPr>
      <w:tblGrid>
        <w:gridCol w:w="2410"/>
        <w:gridCol w:w="2552"/>
        <w:gridCol w:w="1559"/>
        <w:gridCol w:w="1559"/>
        <w:gridCol w:w="1560"/>
        <w:gridCol w:w="2126"/>
        <w:gridCol w:w="3402"/>
      </w:tblGrid>
      <w:tr w:rsidR="00E350D1" w:rsidRPr="00E61A46" w:rsidTr="00F24C1E">
        <w:trPr>
          <w:tblHeader/>
        </w:trPr>
        <w:tc>
          <w:tcPr>
            <w:tcW w:w="2410" w:type="dxa"/>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bookmarkStart w:id="0" w:name="_Hlk96010687"/>
            <w:r w:rsidRPr="00E61A46">
              <w:rPr>
                <w:b/>
                <w:bCs/>
                <w:szCs w:val="22"/>
              </w:rPr>
              <w:t>(a)(ii) Entities</w:t>
            </w:r>
          </w:p>
        </w:tc>
        <w:tc>
          <w:tcPr>
            <w:tcW w:w="2552" w:type="dxa"/>
            <w:tcBorders>
              <w:right w:val="single" w:sz="4" w:space="0" w:color="auto"/>
            </w:tcBorders>
            <w:shd w:val="clear" w:color="auto" w:fill="F2F2F2" w:themeFill="background1" w:themeFillShade="F2"/>
          </w:tcPr>
          <w:p w:rsidR="00E350D1" w:rsidRPr="00E61A46" w:rsidRDefault="00E350D1" w:rsidP="00F24C1E">
            <w:pPr>
              <w:spacing w:before="100" w:beforeAutospacing="1" w:after="100" w:afterAutospacing="1"/>
              <w:outlineLvl w:val="0"/>
              <w:rPr>
                <w:b/>
                <w:bCs/>
                <w:szCs w:val="22"/>
              </w:rPr>
            </w:pPr>
            <w:r w:rsidRPr="00E61A46">
              <w:rPr>
                <w:b/>
                <w:bCs/>
                <w:szCs w:val="22"/>
              </w:rPr>
              <w:t>a) (ii)What number of supplier invoices currently remain unpaid by each entity reporting to him</w:t>
            </w:r>
          </w:p>
        </w:tc>
        <w:tc>
          <w:tcPr>
            <w:tcW w:w="1559" w:type="dxa"/>
            <w:tcBorders>
              <w:left w:val="single" w:sz="4" w:space="0" w:color="auto"/>
            </w:tcBorders>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(aa) 30 days</w:t>
            </w:r>
          </w:p>
        </w:tc>
        <w:tc>
          <w:tcPr>
            <w:tcW w:w="1559" w:type="dxa"/>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(bb) 60 days</w:t>
            </w:r>
          </w:p>
        </w:tc>
        <w:tc>
          <w:tcPr>
            <w:tcW w:w="1560" w:type="dxa"/>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(cc) 90 days</w:t>
            </w:r>
          </w:p>
        </w:tc>
        <w:tc>
          <w:tcPr>
            <w:tcW w:w="2126" w:type="dxa"/>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(dd) 120 days</w:t>
            </w:r>
          </w:p>
        </w:tc>
        <w:tc>
          <w:tcPr>
            <w:tcW w:w="3402" w:type="dxa"/>
            <w:shd w:val="clear" w:color="auto" w:fill="F2F2F2" w:themeFill="background1" w:themeFillShade="F2"/>
          </w:tcPr>
          <w:p w:rsidR="00E350D1" w:rsidRPr="00E61A46" w:rsidRDefault="00E350D1" w:rsidP="00F24C1E">
            <w:pPr>
              <w:spacing w:before="100" w:beforeAutospacing="1" w:after="100" w:afterAutospacing="1"/>
              <w:jc w:val="both"/>
              <w:outlineLvl w:val="0"/>
              <w:rPr>
                <w:b/>
                <w:bCs/>
                <w:szCs w:val="22"/>
              </w:rPr>
            </w:pPr>
            <w:r w:rsidRPr="00E61A46">
              <w:rPr>
                <w:b/>
                <w:bCs/>
                <w:szCs w:val="22"/>
              </w:rPr>
              <w:t>c) by what date is it envisaged that the outstanding amounts will be settled</w:t>
            </w:r>
          </w:p>
        </w:tc>
      </w:tr>
      <w:bookmarkEnd w:id="0"/>
      <w:tr w:rsidR="00E350D1" w:rsidRPr="00E61A46" w:rsidTr="00F24C1E">
        <w:trPr>
          <w:trHeight w:val="773"/>
        </w:trPr>
        <w:tc>
          <w:tcPr>
            <w:tcW w:w="2410" w:type="dxa"/>
          </w:tcPr>
          <w:p w:rsidR="00E350D1" w:rsidRPr="00E61A46" w:rsidRDefault="00E350D1" w:rsidP="00F24C1E">
            <w:pPr>
              <w:spacing w:before="100" w:beforeAutospacing="1" w:after="100" w:afterAutospacing="1"/>
              <w:jc w:val="both"/>
              <w:outlineLvl w:val="0"/>
              <w:rPr>
                <w:szCs w:val="22"/>
              </w:rPr>
            </w:pPr>
            <w:r w:rsidRPr="00E61A46">
              <w:rPr>
                <w:szCs w:val="22"/>
              </w:rPr>
              <w:lastRenderedPageBreak/>
              <w:t>Council for Medical Schemes</w:t>
            </w:r>
          </w:p>
        </w:tc>
        <w:tc>
          <w:tcPr>
            <w:tcW w:w="2552" w:type="dxa"/>
            <w:vMerge w:val="restart"/>
            <w:tcBorders>
              <w:right w:val="single" w:sz="4" w:space="0" w:color="auto"/>
            </w:tcBorders>
            <w:vAlign w:val="center"/>
          </w:tcPr>
          <w:p w:rsidR="00E350D1" w:rsidRPr="00E61A46" w:rsidRDefault="00E350D1" w:rsidP="00F24C1E">
            <w:pPr>
              <w:spacing w:before="100" w:beforeAutospacing="1" w:after="100" w:afterAutospacing="1"/>
              <w:jc w:val="center"/>
              <w:outlineLvl w:val="0"/>
              <w:rPr>
                <w:szCs w:val="22"/>
              </w:rPr>
            </w:pPr>
            <w:r w:rsidRPr="00E61A46">
              <w:rPr>
                <w:szCs w:val="22"/>
              </w:rPr>
              <w:t>10</w:t>
            </w:r>
          </w:p>
          <w:p w:rsidR="00E350D1" w:rsidRPr="00E61A46" w:rsidRDefault="00E350D1" w:rsidP="00F24C1E">
            <w:pPr>
              <w:spacing w:before="100" w:beforeAutospacing="1" w:after="100" w:afterAutospacing="1"/>
              <w:jc w:val="both"/>
              <w:outlineLvl w:val="0"/>
              <w:rPr>
                <w:szCs w:val="22"/>
              </w:rPr>
            </w:pPr>
          </w:p>
        </w:tc>
        <w:tc>
          <w:tcPr>
            <w:tcW w:w="1559" w:type="dxa"/>
          </w:tcPr>
          <w:p w:rsidR="00E350D1" w:rsidRPr="00E61A46" w:rsidRDefault="00E350D1" w:rsidP="00F24C1E">
            <w:pPr>
              <w:spacing w:before="100" w:beforeAutospacing="1" w:after="100" w:afterAutospacing="1"/>
              <w:jc w:val="both"/>
              <w:outlineLvl w:val="0"/>
              <w:rPr>
                <w:szCs w:val="22"/>
              </w:rPr>
            </w:pPr>
            <w:r w:rsidRPr="00E61A46">
              <w:rPr>
                <w:szCs w:val="22"/>
              </w:rPr>
              <w:t xml:space="preserve">1 </w:t>
            </w:r>
          </w:p>
        </w:tc>
        <w:tc>
          <w:tcPr>
            <w:tcW w:w="1559" w:type="dxa"/>
          </w:tcPr>
          <w:p w:rsidR="00E350D1" w:rsidRPr="00E61A46" w:rsidRDefault="00E350D1" w:rsidP="00F24C1E">
            <w:pPr>
              <w:spacing w:before="100" w:beforeAutospacing="1" w:after="100" w:afterAutospacing="1"/>
              <w:jc w:val="both"/>
              <w:outlineLvl w:val="0"/>
              <w:rPr>
                <w:szCs w:val="22"/>
              </w:rPr>
            </w:pPr>
            <w:r w:rsidRPr="00E61A46">
              <w:rPr>
                <w:szCs w:val="22"/>
              </w:rPr>
              <w:t>1</w:t>
            </w:r>
          </w:p>
        </w:tc>
        <w:tc>
          <w:tcPr>
            <w:tcW w:w="1560" w:type="dxa"/>
          </w:tcPr>
          <w:p w:rsidR="00E350D1" w:rsidRPr="00E61A46" w:rsidRDefault="00E350D1" w:rsidP="00F24C1E">
            <w:pPr>
              <w:spacing w:before="100" w:beforeAutospacing="1" w:after="100" w:afterAutospacing="1"/>
              <w:jc w:val="both"/>
              <w:outlineLvl w:val="0"/>
              <w:rPr>
                <w:szCs w:val="22"/>
              </w:rPr>
            </w:pPr>
            <w:r w:rsidRPr="00E61A46">
              <w:rPr>
                <w:szCs w:val="22"/>
              </w:rPr>
              <w:t>1</w:t>
            </w:r>
          </w:p>
        </w:tc>
        <w:tc>
          <w:tcPr>
            <w:tcW w:w="2126" w:type="dxa"/>
          </w:tcPr>
          <w:p w:rsidR="00E350D1" w:rsidRPr="00E61A46" w:rsidRDefault="00E350D1" w:rsidP="00F24C1E">
            <w:pPr>
              <w:spacing w:before="100" w:beforeAutospacing="1" w:after="100" w:afterAutospacing="1"/>
              <w:jc w:val="both"/>
              <w:outlineLvl w:val="0"/>
              <w:rPr>
                <w:szCs w:val="22"/>
              </w:rPr>
            </w:pPr>
            <w:r w:rsidRPr="00E61A46">
              <w:rPr>
                <w:szCs w:val="22"/>
              </w:rPr>
              <w:t>7</w:t>
            </w:r>
          </w:p>
        </w:tc>
        <w:tc>
          <w:tcPr>
            <w:tcW w:w="3402" w:type="dxa"/>
            <w:vMerge w:val="restart"/>
          </w:tcPr>
          <w:p w:rsidR="00E350D1" w:rsidRPr="00E61A46" w:rsidRDefault="00E350D1" w:rsidP="00F24C1E">
            <w:pPr>
              <w:spacing w:before="100" w:beforeAutospacing="1" w:after="100" w:afterAutospacing="1"/>
              <w:jc w:val="both"/>
              <w:outlineLvl w:val="0"/>
              <w:rPr>
                <w:szCs w:val="22"/>
              </w:rPr>
            </w:pPr>
            <w:r w:rsidRPr="00E61A46">
              <w:rPr>
                <w:szCs w:val="22"/>
              </w:rPr>
              <w:t>The outstanding amounts for 30 days, 60 days and 90 days will be settled In February. However, the outstanding amounts for 120 days will be settled once the queries with the billings and Service Level Agreement are resolved.</w:t>
            </w:r>
          </w:p>
        </w:tc>
      </w:tr>
      <w:tr w:rsidR="00E350D1" w:rsidRPr="00E61A46" w:rsidTr="00F24C1E">
        <w:trPr>
          <w:trHeight w:val="1054"/>
        </w:trPr>
        <w:tc>
          <w:tcPr>
            <w:tcW w:w="2410" w:type="dxa"/>
          </w:tcPr>
          <w:p w:rsidR="00E350D1" w:rsidRPr="00E61A46" w:rsidRDefault="00E350D1" w:rsidP="00F24C1E">
            <w:pPr>
              <w:spacing w:before="100" w:beforeAutospacing="1" w:after="100" w:afterAutospacing="1"/>
              <w:outlineLvl w:val="0"/>
              <w:rPr>
                <w:b/>
                <w:bCs/>
                <w:szCs w:val="22"/>
              </w:rPr>
            </w:pPr>
            <w:r w:rsidRPr="00E61A46">
              <w:rPr>
                <w:b/>
                <w:bCs/>
                <w:szCs w:val="22"/>
              </w:rPr>
              <w:t>(b) what is the total amount outstanding in each case</w:t>
            </w:r>
          </w:p>
        </w:tc>
        <w:tc>
          <w:tcPr>
            <w:tcW w:w="2552" w:type="dxa"/>
            <w:vMerge/>
            <w:tcBorders>
              <w:right w:val="single" w:sz="4" w:space="0" w:color="auto"/>
            </w:tcBorders>
          </w:tcPr>
          <w:p w:rsidR="00E350D1" w:rsidRPr="00E61A46" w:rsidRDefault="00E350D1" w:rsidP="00F24C1E">
            <w:pPr>
              <w:spacing w:before="100" w:beforeAutospacing="1" w:after="100" w:afterAutospacing="1"/>
              <w:jc w:val="both"/>
              <w:outlineLvl w:val="0"/>
              <w:rPr>
                <w:szCs w:val="22"/>
              </w:rPr>
            </w:pPr>
          </w:p>
        </w:tc>
        <w:tc>
          <w:tcPr>
            <w:tcW w:w="1559" w:type="dxa"/>
          </w:tcPr>
          <w:p w:rsidR="00E350D1" w:rsidRPr="00E61A46" w:rsidRDefault="00E350D1" w:rsidP="00F24C1E">
            <w:pPr>
              <w:spacing w:before="100" w:beforeAutospacing="1" w:after="100" w:afterAutospacing="1"/>
              <w:jc w:val="both"/>
              <w:outlineLvl w:val="0"/>
              <w:rPr>
                <w:szCs w:val="22"/>
              </w:rPr>
            </w:pPr>
            <w:r w:rsidRPr="00E61A46">
              <w:rPr>
                <w:szCs w:val="22"/>
              </w:rPr>
              <w:t>R2,548.80</w:t>
            </w:r>
          </w:p>
        </w:tc>
        <w:tc>
          <w:tcPr>
            <w:tcW w:w="1559" w:type="dxa"/>
          </w:tcPr>
          <w:p w:rsidR="00E350D1" w:rsidRPr="00E61A46" w:rsidRDefault="00E350D1" w:rsidP="00F24C1E">
            <w:pPr>
              <w:spacing w:before="100" w:beforeAutospacing="1" w:after="100" w:afterAutospacing="1"/>
              <w:jc w:val="both"/>
              <w:outlineLvl w:val="0"/>
              <w:rPr>
                <w:szCs w:val="22"/>
              </w:rPr>
            </w:pPr>
            <w:r w:rsidRPr="00E61A46">
              <w:rPr>
                <w:szCs w:val="22"/>
              </w:rPr>
              <w:t>R26,580.94</w:t>
            </w:r>
          </w:p>
        </w:tc>
        <w:tc>
          <w:tcPr>
            <w:tcW w:w="1560" w:type="dxa"/>
          </w:tcPr>
          <w:p w:rsidR="00E350D1" w:rsidRPr="00E61A46" w:rsidRDefault="00E350D1" w:rsidP="00F24C1E">
            <w:pPr>
              <w:spacing w:before="100" w:beforeAutospacing="1" w:after="100" w:afterAutospacing="1"/>
              <w:jc w:val="both"/>
              <w:outlineLvl w:val="0"/>
              <w:rPr>
                <w:szCs w:val="22"/>
              </w:rPr>
            </w:pPr>
            <w:r w:rsidRPr="00E61A46">
              <w:rPr>
                <w:szCs w:val="22"/>
              </w:rPr>
              <w:t>R8,711.63</w:t>
            </w:r>
          </w:p>
        </w:tc>
        <w:tc>
          <w:tcPr>
            <w:tcW w:w="2126" w:type="dxa"/>
          </w:tcPr>
          <w:p w:rsidR="00E350D1" w:rsidRPr="00E61A46" w:rsidRDefault="00E350D1" w:rsidP="00F24C1E">
            <w:pPr>
              <w:spacing w:before="100" w:beforeAutospacing="1" w:after="100" w:afterAutospacing="1"/>
              <w:jc w:val="both"/>
              <w:outlineLvl w:val="0"/>
              <w:rPr>
                <w:szCs w:val="22"/>
              </w:rPr>
            </w:pPr>
            <w:r w:rsidRPr="00E61A46">
              <w:rPr>
                <w:szCs w:val="22"/>
              </w:rPr>
              <w:t>R2,690,826.82</w:t>
            </w:r>
          </w:p>
        </w:tc>
        <w:tc>
          <w:tcPr>
            <w:tcW w:w="3402" w:type="dxa"/>
            <w:vMerge/>
          </w:tcPr>
          <w:p w:rsidR="00E350D1" w:rsidRPr="00E61A46" w:rsidRDefault="00E350D1" w:rsidP="00F24C1E">
            <w:pPr>
              <w:spacing w:before="100" w:beforeAutospacing="1" w:after="100" w:afterAutospacing="1"/>
              <w:jc w:val="both"/>
              <w:outlineLvl w:val="0"/>
              <w:rPr>
                <w:szCs w:val="22"/>
              </w:rPr>
            </w:pPr>
          </w:p>
        </w:tc>
      </w:tr>
      <w:tr w:rsidR="00E350D1" w:rsidRPr="00E61A46" w:rsidTr="00F24C1E">
        <w:tc>
          <w:tcPr>
            <w:tcW w:w="2410" w:type="dxa"/>
          </w:tcPr>
          <w:p w:rsidR="00E350D1" w:rsidRPr="00E61A46" w:rsidRDefault="00E350D1" w:rsidP="00F24C1E">
            <w:pPr>
              <w:spacing w:before="100" w:beforeAutospacing="1" w:after="100" w:afterAutospacing="1"/>
              <w:jc w:val="both"/>
              <w:outlineLvl w:val="0"/>
              <w:rPr>
                <w:szCs w:val="22"/>
              </w:rPr>
            </w:pPr>
            <w:r w:rsidRPr="00E61A46">
              <w:rPr>
                <w:szCs w:val="22"/>
              </w:rPr>
              <w:t>National Health Laboratory Service</w:t>
            </w:r>
          </w:p>
        </w:tc>
        <w:tc>
          <w:tcPr>
            <w:tcW w:w="2552" w:type="dxa"/>
            <w:vMerge w:val="restart"/>
          </w:tcPr>
          <w:p w:rsidR="00E350D1" w:rsidRPr="00E61A46" w:rsidRDefault="00E350D1" w:rsidP="00F24C1E">
            <w:pPr>
              <w:spacing w:before="100" w:beforeAutospacing="1" w:after="100" w:afterAutospacing="1"/>
              <w:jc w:val="center"/>
              <w:outlineLvl w:val="0"/>
              <w:rPr>
                <w:szCs w:val="22"/>
              </w:rPr>
            </w:pPr>
            <w:r w:rsidRPr="00E61A46">
              <w:rPr>
                <w:szCs w:val="22"/>
              </w:rPr>
              <w:t>10,043</w:t>
            </w:r>
          </w:p>
        </w:tc>
        <w:tc>
          <w:tcPr>
            <w:tcW w:w="1559" w:type="dxa"/>
          </w:tcPr>
          <w:p w:rsidR="00E350D1" w:rsidRPr="00E61A46" w:rsidRDefault="00E350D1" w:rsidP="00F24C1E">
            <w:pPr>
              <w:spacing w:before="100" w:beforeAutospacing="1" w:after="100" w:afterAutospacing="1"/>
              <w:jc w:val="center"/>
              <w:outlineLvl w:val="0"/>
              <w:rPr>
                <w:szCs w:val="22"/>
              </w:rPr>
            </w:pPr>
            <w:r w:rsidRPr="00E61A46">
              <w:rPr>
                <w:szCs w:val="22"/>
              </w:rPr>
              <w:t>6</w:t>
            </w:r>
          </w:p>
        </w:tc>
        <w:tc>
          <w:tcPr>
            <w:tcW w:w="1559" w:type="dxa"/>
          </w:tcPr>
          <w:p w:rsidR="00E350D1" w:rsidRPr="00E61A46" w:rsidRDefault="00E350D1" w:rsidP="00F24C1E">
            <w:pPr>
              <w:spacing w:before="100" w:beforeAutospacing="1" w:after="100" w:afterAutospacing="1"/>
              <w:jc w:val="center"/>
              <w:outlineLvl w:val="0"/>
              <w:rPr>
                <w:szCs w:val="22"/>
              </w:rPr>
            </w:pPr>
            <w:r w:rsidRPr="00E61A46">
              <w:rPr>
                <w:szCs w:val="22"/>
              </w:rPr>
              <w:t>2,247</w:t>
            </w:r>
          </w:p>
        </w:tc>
        <w:tc>
          <w:tcPr>
            <w:tcW w:w="1560" w:type="dxa"/>
          </w:tcPr>
          <w:p w:rsidR="00E350D1" w:rsidRPr="00E61A46" w:rsidRDefault="00E350D1" w:rsidP="00F24C1E">
            <w:pPr>
              <w:spacing w:before="100" w:beforeAutospacing="1" w:after="100" w:afterAutospacing="1"/>
              <w:jc w:val="center"/>
              <w:outlineLvl w:val="0"/>
              <w:rPr>
                <w:szCs w:val="22"/>
              </w:rPr>
            </w:pPr>
            <w:r w:rsidRPr="00E61A46">
              <w:rPr>
                <w:szCs w:val="22"/>
              </w:rPr>
              <w:t>1,287</w:t>
            </w:r>
          </w:p>
        </w:tc>
        <w:tc>
          <w:tcPr>
            <w:tcW w:w="2126" w:type="dxa"/>
          </w:tcPr>
          <w:p w:rsidR="00E350D1" w:rsidRPr="00E61A46" w:rsidRDefault="00E350D1" w:rsidP="00F24C1E">
            <w:pPr>
              <w:spacing w:before="100" w:beforeAutospacing="1" w:after="100" w:afterAutospacing="1"/>
              <w:jc w:val="center"/>
              <w:outlineLvl w:val="0"/>
              <w:rPr>
                <w:szCs w:val="22"/>
              </w:rPr>
            </w:pPr>
            <w:r w:rsidRPr="00E61A46">
              <w:rPr>
                <w:szCs w:val="22"/>
              </w:rPr>
              <w:t>5,318</w:t>
            </w:r>
          </w:p>
        </w:tc>
        <w:tc>
          <w:tcPr>
            <w:tcW w:w="3402" w:type="dxa"/>
            <w:vMerge w:val="restart"/>
          </w:tcPr>
          <w:p w:rsidR="00E350D1" w:rsidRPr="00E61A46" w:rsidRDefault="00E350D1" w:rsidP="00F24C1E">
            <w:pPr>
              <w:spacing w:before="100" w:beforeAutospacing="1" w:after="100" w:afterAutospacing="1"/>
              <w:jc w:val="both"/>
              <w:outlineLvl w:val="0"/>
              <w:rPr>
                <w:szCs w:val="22"/>
              </w:rPr>
            </w:pPr>
            <w:r w:rsidRPr="00E61A46">
              <w:rPr>
                <w:szCs w:val="22"/>
              </w:rPr>
              <w:t>The NHLS aims to pay the total outstanding amount by the 31 March 2022, however, it must be noted that the NHLS total current payables amount stands at an amount of R785 million as at the end of 31 January 2022. Currently the NHLS has paid its suppliers an average of R607 million per month (R6,078m – 1 April 2021 to 31 January 2022). The NHLS’s ability and endeavour to pay its suppliers accurately and timeously is demonstrated by the NHLS’s creditors days being 29.61 days as at the end of January 2022.</w:t>
            </w:r>
          </w:p>
        </w:tc>
      </w:tr>
      <w:tr w:rsidR="00E350D1" w:rsidRPr="00E61A46" w:rsidTr="00F24C1E">
        <w:trPr>
          <w:trHeight w:val="1054"/>
        </w:trPr>
        <w:tc>
          <w:tcPr>
            <w:tcW w:w="2410" w:type="dxa"/>
          </w:tcPr>
          <w:p w:rsidR="00E350D1" w:rsidRPr="00E61A46" w:rsidRDefault="00E350D1" w:rsidP="00F24C1E">
            <w:pPr>
              <w:spacing w:before="100" w:beforeAutospacing="1" w:after="100" w:afterAutospacing="1"/>
              <w:outlineLvl w:val="0"/>
              <w:rPr>
                <w:b/>
                <w:bCs/>
                <w:szCs w:val="22"/>
              </w:rPr>
            </w:pPr>
            <w:r w:rsidRPr="00E61A46">
              <w:rPr>
                <w:b/>
                <w:bCs/>
                <w:szCs w:val="22"/>
              </w:rPr>
              <w:t>(b) what is the total amount outstanding in each case</w:t>
            </w:r>
          </w:p>
        </w:tc>
        <w:tc>
          <w:tcPr>
            <w:tcW w:w="2552" w:type="dxa"/>
            <w:vMerge/>
          </w:tcPr>
          <w:p w:rsidR="00E350D1" w:rsidRPr="00E61A46" w:rsidRDefault="00E350D1" w:rsidP="00F24C1E">
            <w:pPr>
              <w:rPr>
                <w:szCs w:val="22"/>
              </w:rPr>
            </w:pPr>
          </w:p>
        </w:tc>
        <w:tc>
          <w:tcPr>
            <w:tcW w:w="1559" w:type="dxa"/>
          </w:tcPr>
          <w:p w:rsidR="00E350D1" w:rsidRPr="00E61A46" w:rsidRDefault="00E350D1" w:rsidP="00F24C1E">
            <w:pPr>
              <w:spacing w:before="100" w:beforeAutospacing="1" w:after="100" w:afterAutospacing="1"/>
              <w:outlineLvl w:val="0"/>
              <w:rPr>
                <w:szCs w:val="22"/>
              </w:rPr>
            </w:pPr>
            <w:r w:rsidRPr="00E61A46">
              <w:rPr>
                <w:szCs w:val="22"/>
              </w:rPr>
              <w:t>R5,882,763</w:t>
            </w:r>
          </w:p>
          <w:p w:rsidR="00E350D1" w:rsidRPr="00E61A46" w:rsidRDefault="00E350D1" w:rsidP="00F24C1E">
            <w:pPr>
              <w:rPr>
                <w:szCs w:val="22"/>
              </w:rPr>
            </w:pPr>
          </w:p>
        </w:tc>
        <w:tc>
          <w:tcPr>
            <w:tcW w:w="1559" w:type="dxa"/>
          </w:tcPr>
          <w:p w:rsidR="00E350D1" w:rsidRPr="00E61A46" w:rsidRDefault="00E350D1" w:rsidP="00F24C1E">
            <w:pPr>
              <w:spacing w:before="100" w:beforeAutospacing="1" w:after="100" w:afterAutospacing="1"/>
              <w:outlineLvl w:val="0"/>
              <w:rPr>
                <w:szCs w:val="22"/>
              </w:rPr>
            </w:pPr>
            <w:r w:rsidRPr="00E61A46">
              <w:rPr>
                <w:szCs w:val="22"/>
              </w:rPr>
              <w:t>R62,445,992</w:t>
            </w:r>
          </w:p>
          <w:p w:rsidR="00E350D1" w:rsidRPr="00E61A46" w:rsidRDefault="00E350D1" w:rsidP="00F24C1E">
            <w:pPr>
              <w:spacing w:before="100" w:beforeAutospacing="1" w:after="100" w:afterAutospacing="1"/>
              <w:outlineLvl w:val="0"/>
              <w:rPr>
                <w:szCs w:val="22"/>
              </w:rPr>
            </w:pPr>
          </w:p>
        </w:tc>
        <w:tc>
          <w:tcPr>
            <w:tcW w:w="1560" w:type="dxa"/>
          </w:tcPr>
          <w:p w:rsidR="00E350D1" w:rsidRPr="00E61A46" w:rsidRDefault="00E350D1" w:rsidP="00F24C1E">
            <w:pPr>
              <w:spacing w:before="100" w:beforeAutospacing="1" w:after="100" w:afterAutospacing="1"/>
              <w:outlineLvl w:val="0"/>
              <w:rPr>
                <w:szCs w:val="22"/>
              </w:rPr>
            </w:pPr>
            <w:r w:rsidRPr="00E61A46">
              <w:rPr>
                <w:szCs w:val="22"/>
              </w:rPr>
              <w:t>R60,596,022</w:t>
            </w:r>
          </w:p>
          <w:p w:rsidR="00E350D1" w:rsidRPr="00E61A46" w:rsidRDefault="00E350D1" w:rsidP="00F24C1E">
            <w:pPr>
              <w:rPr>
                <w:szCs w:val="22"/>
              </w:rPr>
            </w:pPr>
          </w:p>
        </w:tc>
        <w:tc>
          <w:tcPr>
            <w:tcW w:w="2126" w:type="dxa"/>
          </w:tcPr>
          <w:p w:rsidR="00E350D1" w:rsidRPr="00E61A46" w:rsidRDefault="00E350D1" w:rsidP="00F24C1E">
            <w:pPr>
              <w:spacing w:before="100" w:beforeAutospacing="1" w:after="100" w:afterAutospacing="1"/>
              <w:outlineLvl w:val="0"/>
              <w:rPr>
                <w:szCs w:val="22"/>
              </w:rPr>
            </w:pPr>
            <w:r w:rsidRPr="00E61A46">
              <w:rPr>
                <w:szCs w:val="22"/>
              </w:rPr>
              <w:t>R200,258,904</w:t>
            </w:r>
          </w:p>
          <w:p w:rsidR="00E350D1" w:rsidRPr="00E61A46" w:rsidRDefault="00E350D1" w:rsidP="00F24C1E">
            <w:pPr>
              <w:spacing w:before="100" w:beforeAutospacing="1" w:after="100" w:afterAutospacing="1"/>
              <w:jc w:val="both"/>
              <w:outlineLvl w:val="0"/>
              <w:rPr>
                <w:szCs w:val="22"/>
              </w:rPr>
            </w:pPr>
          </w:p>
        </w:tc>
        <w:tc>
          <w:tcPr>
            <w:tcW w:w="3402" w:type="dxa"/>
            <w:vMerge/>
          </w:tcPr>
          <w:p w:rsidR="00E350D1" w:rsidRPr="00E61A46" w:rsidRDefault="00E350D1" w:rsidP="00F24C1E">
            <w:pPr>
              <w:spacing w:before="100" w:beforeAutospacing="1" w:after="100" w:afterAutospacing="1"/>
              <w:jc w:val="both"/>
              <w:outlineLvl w:val="0"/>
              <w:rPr>
                <w:szCs w:val="22"/>
              </w:rPr>
            </w:pPr>
          </w:p>
        </w:tc>
      </w:tr>
      <w:tr w:rsidR="00E350D1" w:rsidRPr="00E61A46" w:rsidTr="00F24C1E">
        <w:trPr>
          <w:trHeight w:val="1226"/>
        </w:trPr>
        <w:tc>
          <w:tcPr>
            <w:tcW w:w="2410" w:type="dxa"/>
            <w:tcBorders>
              <w:bottom w:val="single" w:sz="4" w:space="0" w:color="auto"/>
            </w:tcBorders>
          </w:tcPr>
          <w:p w:rsidR="00E350D1" w:rsidRPr="00E61A46" w:rsidRDefault="00E350D1" w:rsidP="00F24C1E">
            <w:pPr>
              <w:spacing w:before="100" w:beforeAutospacing="1" w:after="100" w:afterAutospacing="1"/>
              <w:jc w:val="both"/>
              <w:outlineLvl w:val="0"/>
              <w:rPr>
                <w:szCs w:val="22"/>
              </w:rPr>
            </w:pPr>
            <w:r w:rsidRPr="00E61A46">
              <w:rPr>
                <w:szCs w:val="22"/>
              </w:rPr>
              <w:t>South African Health Products Regulatory Authority</w:t>
            </w:r>
          </w:p>
        </w:tc>
        <w:tc>
          <w:tcPr>
            <w:tcW w:w="2552" w:type="dxa"/>
            <w:vMerge w:val="restart"/>
          </w:tcPr>
          <w:p w:rsidR="00E350D1" w:rsidRPr="00E61A46" w:rsidRDefault="00E350D1" w:rsidP="00F24C1E">
            <w:pPr>
              <w:jc w:val="center"/>
              <w:rPr>
                <w:szCs w:val="22"/>
              </w:rPr>
            </w:pPr>
            <w:r w:rsidRPr="00E61A46">
              <w:rPr>
                <w:szCs w:val="22"/>
              </w:rPr>
              <w:t>5</w:t>
            </w:r>
          </w:p>
          <w:p w:rsidR="00E350D1" w:rsidRPr="00E61A46" w:rsidRDefault="00E350D1" w:rsidP="00F24C1E">
            <w:pPr>
              <w:spacing w:before="100" w:beforeAutospacing="1" w:after="100" w:afterAutospacing="1"/>
              <w:jc w:val="center"/>
              <w:outlineLvl w:val="0"/>
              <w:rPr>
                <w:szCs w:val="22"/>
              </w:rPr>
            </w:pPr>
          </w:p>
        </w:tc>
        <w:tc>
          <w:tcPr>
            <w:tcW w:w="1559" w:type="dxa"/>
            <w:tcBorders>
              <w:bottom w:val="single" w:sz="4" w:space="0" w:color="auto"/>
            </w:tcBorders>
          </w:tcPr>
          <w:p w:rsidR="00E350D1" w:rsidRPr="00E61A46" w:rsidRDefault="00E350D1" w:rsidP="00F24C1E">
            <w:pPr>
              <w:jc w:val="center"/>
              <w:rPr>
                <w:szCs w:val="22"/>
              </w:rPr>
            </w:pPr>
            <w:r w:rsidRPr="00E61A46">
              <w:rPr>
                <w:szCs w:val="22"/>
              </w:rPr>
              <w:t>2</w:t>
            </w:r>
          </w:p>
          <w:p w:rsidR="00E350D1" w:rsidRPr="00E61A46" w:rsidRDefault="00E350D1" w:rsidP="00F24C1E">
            <w:pPr>
              <w:spacing w:before="100" w:beforeAutospacing="1" w:after="100" w:afterAutospacing="1"/>
              <w:jc w:val="center"/>
              <w:outlineLvl w:val="0"/>
              <w:rPr>
                <w:szCs w:val="22"/>
              </w:rPr>
            </w:pPr>
          </w:p>
        </w:tc>
        <w:tc>
          <w:tcPr>
            <w:tcW w:w="1559" w:type="dxa"/>
            <w:tcBorders>
              <w:bottom w:val="single" w:sz="4" w:space="0" w:color="auto"/>
            </w:tcBorders>
          </w:tcPr>
          <w:p w:rsidR="00E350D1" w:rsidRPr="00E61A46" w:rsidRDefault="00E350D1" w:rsidP="00F24C1E">
            <w:pPr>
              <w:spacing w:before="100" w:beforeAutospacing="1" w:after="100" w:afterAutospacing="1"/>
              <w:jc w:val="center"/>
              <w:outlineLvl w:val="0"/>
              <w:rPr>
                <w:szCs w:val="22"/>
              </w:rPr>
            </w:pPr>
            <w:r w:rsidRPr="00E61A46">
              <w:rPr>
                <w:szCs w:val="22"/>
              </w:rPr>
              <w:t>Nil</w:t>
            </w:r>
          </w:p>
          <w:p w:rsidR="00E350D1" w:rsidRPr="00E61A46" w:rsidRDefault="00E350D1" w:rsidP="00F24C1E">
            <w:pPr>
              <w:spacing w:before="100" w:beforeAutospacing="1" w:after="100" w:afterAutospacing="1"/>
              <w:jc w:val="center"/>
              <w:outlineLvl w:val="0"/>
              <w:rPr>
                <w:szCs w:val="22"/>
              </w:rPr>
            </w:pPr>
          </w:p>
        </w:tc>
        <w:tc>
          <w:tcPr>
            <w:tcW w:w="1560" w:type="dxa"/>
            <w:tcBorders>
              <w:bottom w:val="single" w:sz="4" w:space="0" w:color="auto"/>
            </w:tcBorders>
          </w:tcPr>
          <w:p w:rsidR="00E350D1" w:rsidRPr="00E61A46" w:rsidRDefault="00E350D1" w:rsidP="00F24C1E">
            <w:pPr>
              <w:jc w:val="center"/>
              <w:rPr>
                <w:szCs w:val="22"/>
              </w:rPr>
            </w:pPr>
            <w:r w:rsidRPr="00E61A46">
              <w:rPr>
                <w:szCs w:val="22"/>
              </w:rPr>
              <w:t>1</w:t>
            </w:r>
          </w:p>
          <w:p w:rsidR="00E350D1" w:rsidRPr="00E61A46" w:rsidRDefault="00E350D1" w:rsidP="00F24C1E">
            <w:pPr>
              <w:spacing w:before="100" w:beforeAutospacing="1" w:after="100" w:afterAutospacing="1"/>
              <w:jc w:val="center"/>
              <w:outlineLvl w:val="0"/>
              <w:rPr>
                <w:szCs w:val="22"/>
              </w:rPr>
            </w:pPr>
          </w:p>
        </w:tc>
        <w:tc>
          <w:tcPr>
            <w:tcW w:w="2126" w:type="dxa"/>
            <w:tcBorders>
              <w:bottom w:val="single" w:sz="4" w:space="0" w:color="auto"/>
            </w:tcBorders>
          </w:tcPr>
          <w:p w:rsidR="00E350D1" w:rsidRPr="00E61A46" w:rsidRDefault="00E350D1" w:rsidP="00F24C1E">
            <w:pPr>
              <w:spacing w:before="100" w:beforeAutospacing="1" w:after="100" w:afterAutospacing="1"/>
              <w:jc w:val="center"/>
              <w:outlineLvl w:val="0"/>
              <w:rPr>
                <w:szCs w:val="22"/>
              </w:rPr>
            </w:pPr>
            <w:r w:rsidRPr="00E61A46">
              <w:rPr>
                <w:szCs w:val="22"/>
              </w:rPr>
              <w:t>2</w:t>
            </w:r>
          </w:p>
        </w:tc>
        <w:tc>
          <w:tcPr>
            <w:tcW w:w="3402" w:type="dxa"/>
            <w:vMerge w:val="restart"/>
          </w:tcPr>
          <w:p w:rsidR="00E350D1" w:rsidRPr="00E61A46" w:rsidRDefault="00E350D1" w:rsidP="00F24C1E">
            <w:pPr>
              <w:spacing w:before="100" w:beforeAutospacing="1" w:after="100" w:afterAutospacing="1"/>
              <w:jc w:val="both"/>
              <w:outlineLvl w:val="0"/>
              <w:rPr>
                <w:szCs w:val="22"/>
              </w:rPr>
            </w:pPr>
            <w:r w:rsidRPr="00E61A46">
              <w:rPr>
                <w:szCs w:val="22"/>
              </w:rPr>
              <w:t>Payment will be made by 28 February 2022 or earlier depending on disputes being cleared.</w:t>
            </w:r>
          </w:p>
        </w:tc>
      </w:tr>
      <w:tr w:rsidR="00E350D1" w:rsidRPr="00E61A46" w:rsidTr="00F24C1E">
        <w:trPr>
          <w:trHeight w:val="425"/>
        </w:trPr>
        <w:tc>
          <w:tcPr>
            <w:tcW w:w="2410" w:type="dxa"/>
            <w:tcBorders>
              <w:top w:val="single" w:sz="4" w:space="0" w:color="auto"/>
            </w:tcBorders>
          </w:tcPr>
          <w:p w:rsidR="00E350D1" w:rsidRPr="00E61A46" w:rsidRDefault="00E350D1" w:rsidP="00F24C1E">
            <w:pPr>
              <w:spacing w:before="100" w:beforeAutospacing="1" w:after="100" w:afterAutospacing="1"/>
              <w:outlineLvl w:val="0"/>
              <w:rPr>
                <w:b/>
                <w:bCs/>
                <w:szCs w:val="22"/>
              </w:rPr>
            </w:pPr>
            <w:r w:rsidRPr="00E61A46">
              <w:rPr>
                <w:b/>
                <w:bCs/>
                <w:szCs w:val="22"/>
              </w:rPr>
              <w:t>(b) what is the total amount outstanding in each case</w:t>
            </w:r>
          </w:p>
        </w:tc>
        <w:tc>
          <w:tcPr>
            <w:tcW w:w="2552" w:type="dxa"/>
            <w:vMerge/>
          </w:tcPr>
          <w:p w:rsidR="00E350D1" w:rsidRPr="00E61A46" w:rsidRDefault="00E350D1" w:rsidP="00F24C1E">
            <w:pPr>
              <w:spacing w:before="100" w:beforeAutospacing="1" w:after="100" w:afterAutospacing="1"/>
              <w:jc w:val="both"/>
              <w:outlineLvl w:val="0"/>
              <w:rPr>
                <w:szCs w:val="22"/>
              </w:rPr>
            </w:pPr>
          </w:p>
        </w:tc>
        <w:tc>
          <w:tcPr>
            <w:tcW w:w="1559" w:type="dxa"/>
            <w:tcBorders>
              <w:top w:val="single" w:sz="4" w:space="0" w:color="auto"/>
            </w:tcBorders>
          </w:tcPr>
          <w:p w:rsidR="00E350D1" w:rsidRPr="00E61A46" w:rsidRDefault="00E350D1" w:rsidP="00F24C1E">
            <w:pPr>
              <w:rPr>
                <w:szCs w:val="22"/>
              </w:rPr>
            </w:pPr>
            <w:r w:rsidRPr="00E61A46">
              <w:rPr>
                <w:szCs w:val="22"/>
              </w:rPr>
              <w:t>R286,259</w:t>
            </w:r>
          </w:p>
          <w:p w:rsidR="00E350D1" w:rsidRPr="00E61A46" w:rsidRDefault="00E350D1" w:rsidP="00F24C1E">
            <w:pPr>
              <w:spacing w:before="100" w:beforeAutospacing="1" w:after="100" w:afterAutospacing="1"/>
              <w:jc w:val="both"/>
              <w:outlineLvl w:val="0"/>
              <w:rPr>
                <w:szCs w:val="22"/>
              </w:rPr>
            </w:pPr>
          </w:p>
        </w:tc>
        <w:tc>
          <w:tcPr>
            <w:tcW w:w="1559" w:type="dxa"/>
            <w:tcBorders>
              <w:top w:val="single" w:sz="4" w:space="0" w:color="auto"/>
            </w:tcBorders>
          </w:tcPr>
          <w:p w:rsidR="00E350D1" w:rsidRPr="00E61A46" w:rsidRDefault="00E350D1" w:rsidP="00F24C1E">
            <w:pPr>
              <w:rPr>
                <w:szCs w:val="22"/>
              </w:rPr>
            </w:pPr>
            <w:r w:rsidRPr="00E61A46">
              <w:rPr>
                <w:szCs w:val="22"/>
              </w:rPr>
              <w:t xml:space="preserve">Nil </w:t>
            </w:r>
          </w:p>
        </w:tc>
        <w:tc>
          <w:tcPr>
            <w:tcW w:w="1560" w:type="dxa"/>
            <w:tcBorders>
              <w:top w:val="single" w:sz="4" w:space="0" w:color="auto"/>
            </w:tcBorders>
          </w:tcPr>
          <w:p w:rsidR="00E350D1" w:rsidRPr="00E61A46" w:rsidRDefault="00E350D1" w:rsidP="00F24C1E">
            <w:pPr>
              <w:rPr>
                <w:szCs w:val="22"/>
              </w:rPr>
            </w:pPr>
            <w:r w:rsidRPr="00E61A46">
              <w:rPr>
                <w:szCs w:val="22"/>
              </w:rPr>
              <w:t>R21,866</w:t>
            </w:r>
          </w:p>
          <w:p w:rsidR="00E350D1" w:rsidRPr="00E61A46" w:rsidRDefault="00E350D1" w:rsidP="00F24C1E">
            <w:pPr>
              <w:rPr>
                <w:szCs w:val="22"/>
              </w:rPr>
            </w:pPr>
          </w:p>
        </w:tc>
        <w:tc>
          <w:tcPr>
            <w:tcW w:w="2126" w:type="dxa"/>
            <w:tcBorders>
              <w:top w:val="single" w:sz="4" w:space="0" w:color="auto"/>
            </w:tcBorders>
          </w:tcPr>
          <w:p w:rsidR="00E350D1" w:rsidRPr="00E61A46" w:rsidRDefault="00E350D1" w:rsidP="00F24C1E">
            <w:pPr>
              <w:spacing w:before="100" w:beforeAutospacing="1" w:after="100" w:afterAutospacing="1"/>
              <w:jc w:val="both"/>
              <w:outlineLvl w:val="0"/>
              <w:rPr>
                <w:szCs w:val="22"/>
              </w:rPr>
            </w:pPr>
            <w:r w:rsidRPr="00E61A46">
              <w:rPr>
                <w:szCs w:val="22"/>
              </w:rPr>
              <w:t>R18,873,189</w:t>
            </w:r>
          </w:p>
        </w:tc>
        <w:tc>
          <w:tcPr>
            <w:tcW w:w="3402" w:type="dxa"/>
            <w:vMerge/>
          </w:tcPr>
          <w:p w:rsidR="00E350D1" w:rsidRPr="00E61A46" w:rsidRDefault="00E350D1" w:rsidP="00F24C1E">
            <w:pPr>
              <w:spacing w:before="100" w:beforeAutospacing="1" w:after="100" w:afterAutospacing="1"/>
              <w:jc w:val="both"/>
              <w:outlineLvl w:val="0"/>
              <w:rPr>
                <w:szCs w:val="22"/>
              </w:rPr>
            </w:pPr>
          </w:p>
        </w:tc>
      </w:tr>
      <w:tr w:rsidR="00E350D1" w:rsidRPr="00E61A46" w:rsidTr="00F24C1E">
        <w:tc>
          <w:tcPr>
            <w:tcW w:w="2410" w:type="dxa"/>
          </w:tcPr>
          <w:p w:rsidR="00E350D1" w:rsidRPr="00E61A46" w:rsidRDefault="00E350D1" w:rsidP="00F24C1E">
            <w:pPr>
              <w:spacing w:before="100" w:beforeAutospacing="1" w:after="100" w:afterAutospacing="1"/>
              <w:jc w:val="both"/>
              <w:outlineLvl w:val="0"/>
              <w:rPr>
                <w:szCs w:val="22"/>
              </w:rPr>
            </w:pPr>
            <w:r w:rsidRPr="00E61A46">
              <w:rPr>
                <w:szCs w:val="22"/>
              </w:rPr>
              <w:t xml:space="preserve">South African Medical </w:t>
            </w:r>
            <w:r w:rsidRPr="00E61A46">
              <w:rPr>
                <w:szCs w:val="22"/>
              </w:rPr>
              <w:lastRenderedPageBreak/>
              <w:t>Research Council</w:t>
            </w:r>
          </w:p>
        </w:tc>
        <w:tc>
          <w:tcPr>
            <w:tcW w:w="2552" w:type="dxa"/>
            <w:vMerge w:val="restart"/>
            <w:tcBorders>
              <w:right w:val="single" w:sz="4" w:space="0" w:color="auto"/>
            </w:tcBorders>
          </w:tcPr>
          <w:p w:rsidR="00E350D1" w:rsidRPr="00E61A46" w:rsidRDefault="00E350D1" w:rsidP="00F24C1E">
            <w:pPr>
              <w:spacing w:before="100" w:beforeAutospacing="1" w:after="100" w:afterAutospacing="1"/>
              <w:jc w:val="center"/>
              <w:outlineLvl w:val="0"/>
              <w:rPr>
                <w:szCs w:val="22"/>
              </w:rPr>
            </w:pPr>
            <w:r w:rsidRPr="00E61A46">
              <w:rPr>
                <w:szCs w:val="22"/>
              </w:rPr>
              <w:lastRenderedPageBreak/>
              <w:t>Nil</w:t>
            </w:r>
          </w:p>
        </w:tc>
        <w:tc>
          <w:tcPr>
            <w:tcW w:w="1559" w:type="dxa"/>
            <w:tcBorders>
              <w:left w:val="single" w:sz="4" w:space="0" w:color="auto"/>
            </w:tcBorders>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1559" w:type="dxa"/>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1560" w:type="dxa"/>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2126" w:type="dxa"/>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3402" w:type="dxa"/>
            <w:vMerge w:val="restart"/>
          </w:tcPr>
          <w:p w:rsidR="00E350D1" w:rsidRPr="00E61A46" w:rsidRDefault="00E350D1" w:rsidP="00F24C1E">
            <w:pPr>
              <w:spacing w:before="100" w:beforeAutospacing="1" w:after="100" w:afterAutospacing="1"/>
              <w:outlineLvl w:val="0"/>
              <w:rPr>
                <w:szCs w:val="22"/>
              </w:rPr>
            </w:pPr>
            <w:r w:rsidRPr="00E61A46">
              <w:rPr>
                <w:szCs w:val="22"/>
              </w:rPr>
              <w:t xml:space="preserve">N/A </w:t>
            </w:r>
          </w:p>
        </w:tc>
      </w:tr>
      <w:tr w:rsidR="00E350D1" w:rsidRPr="00E61A46" w:rsidTr="00F24C1E">
        <w:tc>
          <w:tcPr>
            <w:tcW w:w="2410" w:type="dxa"/>
          </w:tcPr>
          <w:p w:rsidR="00E350D1" w:rsidRPr="00E61A46" w:rsidRDefault="00E350D1" w:rsidP="00F24C1E">
            <w:pPr>
              <w:spacing w:before="100" w:beforeAutospacing="1" w:after="100" w:afterAutospacing="1"/>
              <w:outlineLvl w:val="0"/>
              <w:rPr>
                <w:b/>
                <w:bCs/>
                <w:szCs w:val="22"/>
              </w:rPr>
            </w:pPr>
            <w:r w:rsidRPr="00E61A46">
              <w:rPr>
                <w:b/>
                <w:bCs/>
                <w:szCs w:val="22"/>
              </w:rPr>
              <w:lastRenderedPageBreak/>
              <w:t>(b) what is the total amount outstanding in each case</w:t>
            </w:r>
          </w:p>
        </w:tc>
        <w:tc>
          <w:tcPr>
            <w:tcW w:w="2552" w:type="dxa"/>
            <w:vMerge/>
            <w:tcBorders>
              <w:right w:val="single" w:sz="4" w:space="0" w:color="auto"/>
            </w:tcBorders>
          </w:tcPr>
          <w:p w:rsidR="00E350D1" w:rsidRPr="00E61A46" w:rsidRDefault="00E350D1" w:rsidP="00F24C1E">
            <w:pPr>
              <w:spacing w:before="100" w:beforeAutospacing="1" w:after="100" w:afterAutospacing="1"/>
              <w:jc w:val="both"/>
              <w:outlineLvl w:val="0"/>
              <w:rPr>
                <w:szCs w:val="22"/>
              </w:rPr>
            </w:pPr>
          </w:p>
        </w:tc>
        <w:tc>
          <w:tcPr>
            <w:tcW w:w="1559" w:type="dxa"/>
            <w:tcBorders>
              <w:left w:val="single" w:sz="4" w:space="0" w:color="auto"/>
            </w:tcBorders>
          </w:tcPr>
          <w:p w:rsidR="00E350D1" w:rsidRPr="00E61A46" w:rsidRDefault="00E350D1" w:rsidP="00F24C1E">
            <w:pPr>
              <w:spacing w:before="100" w:beforeAutospacing="1" w:after="100" w:afterAutospacing="1"/>
              <w:jc w:val="both"/>
              <w:outlineLvl w:val="0"/>
              <w:rPr>
                <w:szCs w:val="22"/>
              </w:rPr>
            </w:pPr>
            <w:r w:rsidRPr="00E61A46">
              <w:rPr>
                <w:szCs w:val="22"/>
              </w:rPr>
              <w:t>N/A</w:t>
            </w:r>
          </w:p>
          <w:p w:rsidR="00E350D1" w:rsidRPr="00E61A46" w:rsidRDefault="00E350D1" w:rsidP="00F24C1E">
            <w:pPr>
              <w:spacing w:before="100" w:beforeAutospacing="1" w:after="100" w:afterAutospacing="1"/>
              <w:jc w:val="both"/>
              <w:outlineLvl w:val="0"/>
              <w:rPr>
                <w:szCs w:val="22"/>
              </w:rPr>
            </w:pPr>
          </w:p>
        </w:tc>
        <w:tc>
          <w:tcPr>
            <w:tcW w:w="1559" w:type="dxa"/>
          </w:tcPr>
          <w:p w:rsidR="00E350D1" w:rsidRPr="00E61A46" w:rsidRDefault="00E350D1" w:rsidP="00F24C1E">
            <w:pPr>
              <w:spacing w:before="100" w:beforeAutospacing="1" w:after="100" w:afterAutospacing="1"/>
              <w:jc w:val="both"/>
              <w:outlineLvl w:val="0"/>
              <w:rPr>
                <w:szCs w:val="22"/>
              </w:rPr>
            </w:pPr>
            <w:r w:rsidRPr="00E61A46">
              <w:rPr>
                <w:szCs w:val="22"/>
              </w:rPr>
              <w:t>N/A</w:t>
            </w:r>
          </w:p>
        </w:tc>
        <w:tc>
          <w:tcPr>
            <w:tcW w:w="1560" w:type="dxa"/>
          </w:tcPr>
          <w:p w:rsidR="00E350D1" w:rsidRPr="00E61A46" w:rsidRDefault="00E350D1" w:rsidP="00F24C1E">
            <w:pPr>
              <w:spacing w:before="100" w:beforeAutospacing="1" w:after="100" w:afterAutospacing="1"/>
              <w:jc w:val="both"/>
              <w:outlineLvl w:val="0"/>
              <w:rPr>
                <w:szCs w:val="22"/>
              </w:rPr>
            </w:pPr>
            <w:r w:rsidRPr="00E61A46">
              <w:rPr>
                <w:szCs w:val="22"/>
              </w:rPr>
              <w:t>N/A</w:t>
            </w:r>
          </w:p>
        </w:tc>
        <w:tc>
          <w:tcPr>
            <w:tcW w:w="2126" w:type="dxa"/>
          </w:tcPr>
          <w:p w:rsidR="00E350D1" w:rsidRPr="00E61A46" w:rsidRDefault="00E350D1" w:rsidP="00F24C1E">
            <w:pPr>
              <w:spacing w:before="100" w:beforeAutospacing="1" w:after="100" w:afterAutospacing="1"/>
              <w:jc w:val="both"/>
              <w:outlineLvl w:val="0"/>
              <w:rPr>
                <w:szCs w:val="22"/>
              </w:rPr>
            </w:pPr>
            <w:r w:rsidRPr="00E61A46">
              <w:rPr>
                <w:szCs w:val="22"/>
              </w:rPr>
              <w:t>N/A</w:t>
            </w:r>
          </w:p>
        </w:tc>
        <w:tc>
          <w:tcPr>
            <w:tcW w:w="3402" w:type="dxa"/>
            <w:vMerge/>
          </w:tcPr>
          <w:p w:rsidR="00E350D1" w:rsidRPr="00E61A46" w:rsidRDefault="00E350D1" w:rsidP="00F24C1E">
            <w:pPr>
              <w:spacing w:before="100" w:beforeAutospacing="1" w:after="100" w:afterAutospacing="1"/>
              <w:jc w:val="both"/>
              <w:outlineLvl w:val="0"/>
              <w:rPr>
                <w:szCs w:val="22"/>
              </w:rPr>
            </w:pPr>
          </w:p>
        </w:tc>
      </w:tr>
      <w:tr w:rsidR="00E350D1" w:rsidRPr="00E61A46" w:rsidTr="00F24C1E">
        <w:tc>
          <w:tcPr>
            <w:tcW w:w="2410" w:type="dxa"/>
          </w:tcPr>
          <w:p w:rsidR="00E350D1" w:rsidRPr="00E61A46" w:rsidRDefault="00E350D1" w:rsidP="00F24C1E">
            <w:pPr>
              <w:spacing w:before="100" w:beforeAutospacing="1" w:after="100" w:afterAutospacing="1"/>
              <w:jc w:val="both"/>
              <w:outlineLvl w:val="0"/>
              <w:rPr>
                <w:b/>
                <w:bCs/>
                <w:szCs w:val="22"/>
              </w:rPr>
            </w:pPr>
            <w:r w:rsidRPr="00E61A46">
              <w:rPr>
                <w:szCs w:val="22"/>
              </w:rPr>
              <w:t>Office of Health Standards Compliance</w:t>
            </w:r>
          </w:p>
        </w:tc>
        <w:tc>
          <w:tcPr>
            <w:tcW w:w="2552" w:type="dxa"/>
            <w:vMerge w:val="restart"/>
            <w:tcBorders>
              <w:right w:val="single" w:sz="4" w:space="0" w:color="auto"/>
            </w:tcBorders>
          </w:tcPr>
          <w:p w:rsidR="00E350D1" w:rsidRPr="00E61A46" w:rsidRDefault="00E350D1" w:rsidP="00F24C1E">
            <w:pPr>
              <w:spacing w:before="100" w:beforeAutospacing="1" w:after="100" w:afterAutospacing="1"/>
              <w:jc w:val="center"/>
              <w:outlineLvl w:val="0"/>
              <w:rPr>
                <w:szCs w:val="22"/>
              </w:rPr>
            </w:pPr>
            <w:r w:rsidRPr="00E61A46">
              <w:rPr>
                <w:szCs w:val="22"/>
              </w:rPr>
              <w:t>Nil</w:t>
            </w:r>
          </w:p>
          <w:p w:rsidR="00E350D1" w:rsidRPr="00E61A46" w:rsidRDefault="00E350D1" w:rsidP="00F24C1E">
            <w:pPr>
              <w:spacing w:before="100" w:beforeAutospacing="1" w:after="100" w:afterAutospacing="1"/>
              <w:jc w:val="center"/>
              <w:outlineLvl w:val="0"/>
              <w:rPr>
                <w:szCs w:val="22"/>
              </w:rPr>
            </w:pPr>
          </w:p>
        </w:tc>
        <w:tc>
          <w:tcPr>
            <w:tcW w:w="1559" w:type="dxa"/>
            <w:tcBorders>
              <w:left w:val="single" w:sz="4" w:space="0" w:color="auto"/>
            </w:tcBorders>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1559" w:type="dxa"/>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1560" w:type="dxa"/>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2126" w:type="dxa"/>
          </w:tcPr>
          <w:p w:rsidR="00E350D1" w:rsidRPr="00E61A46" w:rsidRDefault="00E350D1" w:rsidP="00F24C1E">
            <w:pPr>
              <w:spacing w:before="100" w:beforeAutospacing="1" w:after="100" w:afterAutospacing="1"/>
              <w:jc w:val="center"/>
              <w:outlineLvl w:val="0"/>
              <w:rPr>
                <w:szCs w:val="22"/>
              </w:rPr>
            </w:pPr>
            <w:r w:rsidRPr="00E61A46">
              <w:rPr>
                <w:szCs w:val="22"/>
              </w:rPr>
              <w:t>Nil</w:t>
            </w:r>
          </w:p>
        </w:tc>
        <w:tc>
          <w:tcPr>
            <w:tcW w:w="3402" w:type="dxa"/>
            <w:vMerge w:val="restart"/>
          </w:tcPr>
          <w:p w:rsidR="00E350D1" w:rsidRPr="00E61A46" w:rsidRDefault="00E350D1" w:rsidP="00F24C1E">
            <w:pPr>
              <w:spacing w:before="100" w:beforeAutospacing="1" w:after="100" w:afterAutospacing="1"/>
              <w:jc w:val="both"/>
              <w:outlineLvl w:val="0"/>
              <w:rPr>
                <w:szCs w:val="22"/>
              </w:rPr>
            </w:pPr>
            <w:r w:rsidRPr="00E61A46">
              <w:rPr>
                <w:szCs w:val="22"/>
              </w:rPr>
              <w:t>N/A</w:t>
            </w:r>
          </w:p>
        </w:tc>
      </w:tr>
      <w:tr w:rsidR="00E350D1" w:rsidRPr="00E61A46" w:rsidTr="00F24C1E">
        <w:tc>
          <w:tcPr>
            <w:tcW w:w="2410" w:type="dxa"/>
          </w:tcPr>
          <w:p w:rsidR="00E350D1" w:rsidRPr="00E61A46" w:rsidRDefault="00E350D1" w:rsidP="00F24C1E">
            <w:pPr>
              <w:spacing w:before="100" w:beforeAutospacing="1" w:after="100" w:afterAutospacing="1"/>
              <w:outlineLvl w:val="0"/>
              <w:rPr>
                <w:b/>
                <w:bCs/>
                <w:szCs w:val="22"/>
              </w:rPr>
            </w:pPr>
            <w:r w:rsidRPr="00E61A46">
              <w:rPr>
                <w:b/>
                <w:bCs/>
                <w:szCs w:val="22"/>
              </w:rPr>
              <w:t>(b) what is the total amount outstanding</w:t>
            </w:r>
          </w:p>
        </w:tc>
        <w:tc>
          <w:tcPr>
            <w:tcW w:w="2552" w:type="dxa"/>
            <w:vMerge/>
            <w:tcBorders>
              <w:right w:val="single" w:sz="4" w:space="0" w:color="auto"/>
            </w:tcBorders>
          </w:tcPr>
          <w:p w:rsidR="00E350D1" w:rsidRPr="00E61A46" w:rsidRDefault="00E350D1" w:rsidP="00F24C1E">
            <w:pPr>
              <w:spacing w:before="100" w:beforeAutospacing="1" w:after="100" w:afterAutospacing="1"/>
              <w:jc w:val="both"/>
              <w:outlineLvl w:val="0"/>
              <w:rPr>
                <w:szCs w:val="22"/>
              </w:rPr>
            </w:pPr>
          </w:p>
        </w:tc>
        <w:tc>
          <w:tcPr>
            <w:tcW w:w="1559" w:type="dxa"/>
            <w:tcBorders>
              <w:left w:val="single" w:sz="4" w:space="0" w:color="auto"/>
            </w:tcBorders>
          </w:tcPr>
          <w:p w:rsidR="00E350D1" w:rsidRPr="00E61A46" w:rsidRDefault="00E350D1" w:rsidP="00F24C1E">
            <w:pPr>
              <w:spacing w:before="100" w:beforeAutospacing="1" w:after="100" w:afterAutospacing="1"/>
              <w:jc w:val="both"/>
              <w:outlineLvl w:val="0"/>
              <w:rPr>
                <w:szCs w:val="22"/>
              </w:rPr>
            </w:pPr>
            <w:r w:rsidRPr="00E61A46">
              <w:rPr>
                <w:szCs w:val="22"/>
              </w:rPr>
              <w:t>N/A</w:t>
            </w:r>
          </w:p>
        </w:tc>
        <w:tc>
          <w:tcPr>
            <w:tcW w:w="1559" w:type="dxa"/>
          </w:tcPr>
          <w:p w:rsidR="00E350D1" w:rsidRPr="00E61A46" w:rsidRDefault="00E350D1" w:rsidP="00F24C1E">
            <w:pPr>
              <w:spacing w:before="100" w:beforeAutospacing="1" w:after="100" w:afterAutospacing="1"/>
              <w:jc w:val="both"/>
              <w:outlineLvl w:val="0"/>
              <w:rPr>
                <w:szCs w:val="22"/>
              </w:rPr>
            </w:pPr>
            <w:r w:rsidRPr="00E61A46">
              <w:rPr>
                <w:szCs w:val="22"/>
              </w:rPr>
              <w:t>N/A</w:t>
            </w:r>
          </w:p>
        </w:tc>
        <w:tc>
          <w:tcPr>
            <w:tcW w:w="1560" w:type="dxa"/>
          </w:tcPr>
          <w:p w:rsidR="00E350D1" w:rsidRPr="00E61A46" w:rsidRDefault="00E350D1" w:rsidP="00F24C1E">
            <w:pPr>
              <w:spacing w:before="100" w:beforeAutospacing="1" w:after="100" w:afterAutospacing="1"/>
              <w:jc w:val="both"/>
              <w:outlineLvl w:val="0"/>
              <w:rPr>
                <w:szCs w:val="22"/>
              </w:rPr>
            </w:pPr>
            <w:r w:rsidRPr="00E61A46">
              <w:rPr>
                <w:szCs w:val="22"/>
              </w:rPr>
              <w:t>N/A</w:t>
            </w:r>
          </w:p>
        </w:tc>
        <w:tc>
          <w:tcPr>
            <w:tcW w:w="2126" w:type="dxa"/>
          </w:tcPr>
          <w:p w:rsidR="00E350D1" w:rsidRPr="00E61A46" w:rsidRDefault="00E350D1" w:rsidP="00F24C1E">
            <w:pPr>
              <w:spacing w:before="100" w:beforeAutospacing="1" w:after="100" w:afterAutospacing="1"/>
              <w:jc w:val="both"/>
              <w:outlineLvl w:val="0"/>
              <w:rPr>
                <w:szCs w:val="22"/>
              </w:rPr>
            </w:pPr>
            <w:r w:rsidRPr="00E61A46">
              <w:rPr>
                <w:szCs w:val="22"/>
              </w:rPr>
              <w:t>N/A</w:t>
            </w:r>
          </w:p>
        </w:tc>
        <w:tc>
          <w:tcPr>
            <w:tcW w:w="3402" w:type="dxa"/>
            <w:vMerge/>
          </w:tcPr>
          <w:p w:rsidR="00E350D1" w:rsidRPr="00E61A46" w:rsidRDefault="00E350D1" w:rsidP="00F24C1E">
            <w:pPr>
              <w:spacing w:before="100" w:beforeAutospacing="1" w:after="100" w:afterAutospacing="1"/>
              <w:jc w:val="both"/>
              <w:outlineLvl w:val="0"/>
              <w:rPr>
                <w:szCs w:val="22"/>
              </w:rPr>
            </w:pPr>
          </w:p>
        </w:tc>
      </w:tr>
    </w:tbl>
    <w:p w:rsidR="00E350D1" w:rsidRPr="009A2AEA" w:rsidRDefault="00E350D1" w:rsidP="00E350D1">
      <w:pPr>
        <w:spacing w:after="160" w:line="259" w:lineRule="auto"/>
        <w:rPr>
          <w:rFonts w:eastAsia="Calibri"/>
          <w:b/>
          <w:bCs/>
          <w:sz w:val="20"/>
          <w:szCs w:val="20"/>
          <w:u w:val="single"/>
        </w:rPr>
      </w:pPr>
    </w:p>
    <w:p w:rsidR="00E238C2" w:rsidRPr="007D5FA8" w:rsidRDefault="00E350D1" w:rsidP="00E350D1">
      <w:pPr>
        <w:rPr>
          <w:b/>
          <w:bCs/>
          <w:sz w:val="24"/>
        </w:rPr>
      </w:pPr>
      <w:r w:rsidRPr="007D5FA8">
        <w:t>END.</w:t>
      </w:r>
    </w:p>
    <w:sectPr w:rsidR="00E238C2" w:rsidRPr="007D5FA8" w:rsidSect="00672C8A">
      <w:footerReference w:type="even" r:id="rId7"/>
      <w:footerReference w:type="default" r:id="rId8"/>
      <w:pgSz w:w="16838" w:h="11906" w:orient="landscape"/>
      <w:pgMar w:top="851" w:right="851" w:bottom="851"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E1" w:rsidRDefault="004E2FE1">
      <w:r>
        <w:separator/>
      </w:r>
    </w:p>
  </w:endnote>
  <w:endnote w:type="continuationSeparator" w:id="0">
    <w:p w:rsidR="004E2FE1" w:rsidRDefault="004E2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11AF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11AF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70C5D">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E1" w:rsidRDefault="004E2FE1">
      <w:r>
        <w:separator/>
      </w:r>
    </w:p>
  </w:footnote>
  <w:footnote w:type="continuationSeparator" w:id="0">
    <w:p w:rsidR="004E2FE1" w:rsidRDefault="004E2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80518A"/>
    <w:multiLevelType w:val="hybridMultilevel"/>
    <w:tmpl w:val="A2C625CC"/>
    <w:lvl w:ilvl="0" w:tplc="73669F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066724"/>
    <w:multiLevelType w:val="hybridMultilevel"/>
    <w:tmpl w:val="30A21DF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0C5D"/>
    <w:rsid w:val="00271665"/>
    <w:rsid w:val="00282DB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0AA"/>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33F0"/>
    <w:rsid w:val="0047454A"/>
    <w:rsid w:val="004755C3"/>
    <w:rsid w:val="004759B3"/>
    <w:rsid w:val="0048302D"/>
    <w:rsid w:val="00483FEE"/>
    <w:rsid w:val="00487E16"/>
    <w:rsid w:val="00490BF9"/>
    <w:rsid w:val="00495DDF"/>
    <w:rsid w:val="004A26E8"/>
    <w:rsid w:val="004A5A20"/>
    <w:rsid w:val="004B1268"/>
    <w:rsid w:val="004B3491"/>
    <w:rsid w:val="004B457B"/>
    <w:rsid w:val="004C48A9"/>
    <w:rsid w:val="004C5286"/>
    <w:rsid w:val="004C54CE"/>
    <w:rsid w:val="004C5B1F"/>
    <w:rsid w:val="004C740F"/>
    <w:rsid w:val="004D4DBF"/>
    <w:rsid w:val="004E163D"/>
    <w:rsid w:val="004E2FE1"/>
    <w:rsid w:val="004E4D5C"/>
    <w:rsid w:val="004F42DD"/>
    <w:rsid w:val="004F4D91"/>
    <w:rsid w:val="004F6DCB"/>
    <w:rsid w:val="004F7C1A"/>
    <w:rsid w:val="0050347C"/>
    <w:rsid w:val="00503EB5"/>
    <w:rsid w:val="00510229"/>
    <w:rsid w:val="0051126E"/>
    <w:rsid w:val="005117E9"/>
    <w:rsid w:val="00511AFF"/>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85E"/>
    <w:rsid w:val="005D7A2A"/>
    <w:rsid w:val="005E1FBC"/>
    <w:rsid w:val="005E5D63"/>
    <w:rsid w:val="005E7BF6"/>
    <w:rsid w:val="00602574"/>
    <w:rsid w:val="00610BC7"/>
    <w:rsid w:val="00616273"/>
    <w:rsid w:val="006175C7"/>
    <w:rsid w:val="00623C5C"/>
    <w:rsid w:val="00623E12"/>
    <w:rsid w:val="00627627"/>
    <w:rsid w:val="00635745"/>
    <w:rsid w:val="00635890"/>
    <w:rsid w:val="00637291"/>
    <w:rsid w:val="0063794C"/>
    <w:rsid w:val="00646F50"/>
    <w:rsid w:val="006664AE"/>
    <w:rsid w:val="00666F44"/>
    <w:rsid w:val="00672C8A"/>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E705B"/>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9F66D6"/>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B581B"/>
    <w:rsid w:val="00DC1DD2"/>
    <w:rsid w:val="00DC2CAF"/>
    <w:rsid w:val="00DC2D05"/>
    <w:rsid w:val="00DC43AC"/>
    <w:rsid w:val="00DC6ECC"/>
    <w:rsid w:val="00DC7AE6"/>
    <w:rsid w:val="00DD5010"/>
    <w:rsid w:val="00DE1045"/>
    <w:rsid w:val="00DE233C"/>
    <w:rsid w:val="00DE4636"/>
    <w:rsid w:val="00DE787B"/>
    <w:rsid w:val="00DF0073"/>
    <w:rsid w:val="00DF02FF"/>
    <w:rsid w:val="00DF0706"/>
    <w:rsid w:val="00DF6212"/>
    <w:rsid w:val="00E040FD"/>
    <w:rsid w:val="00E066C4"/>
    <w:rsid w:val="00E11BD3"/>
    <w:rsid w:val="00E161FB"/>
    <w:rsid w:val="00E20597"/>
    <w:rsid w:val="00E238C2"/>
    <w:rsid w:val="00E256E5"/>
    <w:rsid w:val="00E350D1"/>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2022-02-28T10:59:00Z</dcterms:created>
  <dcterms:modified xsi:type="dcterms:W3CDTF">2022-02-28T10:59:00Z</dcterms:modified>
</cp:coreProperties>
</file>