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C3" w:rsidRDefault="00BE13C3" w:rsidP="00BE13C3">
      <w:pPr>
        <w:ind w:left="540" w:hanging="540"/>
        <w:rPr>
          <w:rFonts w:cs="Arial"/>
        </w:rPr>
      </w:pPr>
    </w:p>
    <w:p w:rsidR="007E1DF0" w:rsidRDefault="000A58CF" w:rsidP="007E1DF0">
      <w:pPr>
        <w:spacing w:line="360" w:lineRule="auto"/>
        <w:ind w:left="540" w:hanging="540"/>
        <w:jc w:val="center"/>
        <w:rPr>
          <w:rFonts w:cs="Arial"/>
          <w:b/>
          <w:sz w:val="24"/>
          <w:szCs w:val="24"/>
        </w:rPr>
      </w:pPr>
      <w:r>
        <w:rPr>
          <w:rFonts w:eastAsia="Calibri" w:cs="Arial"/>
          <w:b/>
          <w:noProof/>
          <w:lang w:eastAsia="en-ZA"/>
        </w:rPr>
        <w:drawing>
          <wp:inline distT="0" distB="0" distL="0" distR="0">
            <wp:extent cx="952500" cy="800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1B8" w:rsidRPr="00D879B1" w:rsidRDefault="000451B8" w:rsidP="000451B8">
      <w:pPr>
        <w:jc w:val="center"/>
        <w:rPr>
          <w:rFonts w:cs="Arial"/>
          <w:b/>
          <w:sz w:val="24"/>
          <w:szCs w:val="24"/>
        </w:rPr>
      </w:pPr>
      <w:r w:rsidRPr="00D879B1">
        <w:rPr>
          <w:rFonts w:cs="Arial"/>
          <w:b/>
          <w:sz w:val="24"/>
          <w:szCs w:val="24"/>
        </w:rPr>
        <w:t>JUSTICE AND CORRECTIONAL SERVICES</w:t>
      </w:r>
    </w:p>
    <w:p w:rsidR="000451B8" w:rsidRPr="00D879B1" w:rsidRDefault="000451B8" w:rsidP="000451B8">
      <w:pPr>
        <w:jc w:val="center"/>
        <w:outlineLvl w:val="0"/>
        <w:rPr>
          <w:rFonts w:eastAsia="Arial Unicode MS" w:cs="Arial"/>
          <w:b/>
          <w:color w:val="000000"/>
          <w:sz w:val="24"/>
          <w:szCs w:val="24"/>
          <w:lang w:eastAsia="en-ZA"/>
        </w:rPr>
      </w:pPr>
      <w:r w:rsidRPr="00D879B1">
        <w:rPr>
          <w:rFonts w:eastAsia="Arial Unicode MS" w:cs="Arial"/>
          <w:b/>
          <w:color w:val="000000"/>
          <w:sz w:val="24"/>
          <w:szCs w:val="24"/>
          <w:lang w:eastAsia="en-ZA"/>
        </w:rPr>
        <w:t>REPUBLIC OF SOUTH AFRICA</w:t>
      </w:r>
    </w:p>
    <w:p w:rsidR="000451B8" w:rsidRPr="00D879B1" w:rsidRDefault="000451B8" w:rsidP="000451B8">
      <w:pPr>
        <w:pBdr>
          <w:bottom w:val="single" w:sz="4" w:space="1" w:color="auto"/>
        </w:pBdr>
        <w:spacing w:after="200" w:line="276" w:lineRule="auto"/>
        <w:jc w:val="center"/>
        <w:rPr>
          <w:rFonts w:eastAsia="Calibri" w:cs="Arial"/>
          <w:b/>
          <w:bCs/>
          <w:sz w:val="24"/>
          <w:szCs w:val="24"/>
        </w:rPr>
      </w:pPr>
    </w:p>
    <w:p w:rsidR="007E1DF0" w:rsidRPr="007E1DF0" w:rsidRDefault="007E1DF0" w:rsidP="000451B8">
      <w:pPr>
        <w:spacing w:line="360" w:lineRule="auto"/>
        <w:rPr>
          <w:rFonts w:cs="Arial"/>
          <w:b/>
          <w:sz w:val="24"/>
          <w:szCs w:val="24"/>
        </w:rPr>
      </w:pPr>
      <w:r w:rsidRPr="007E1DF0">
        <w:rPr>
          <w:rFonts w:cs="Arial"/>
          <w:b/>
          <w:sz w:val="24"/>
          <w:szCs w:val="24"/>
        </w:rPr>
        <w:t>NATIONAL ASSEMBLY</w:t>
      </w:r>
    </w:p>
    <w:p w:rsidR="00BE13C3" w:rsidRPr="007E1DF0" w:rsidRDefault="007E1DF0" w:rsidP="007E1DF0">
      <w:pPr>
        <w:spacing w:line="360" w:lineRule="auto"/>
        <w:ind w:left="540" w:hanging="540"/>
        <w:rPr>
          <w:rFonts w:cs="Arial"/>
          <w:b/>
          <w:sz w:val="24"/>
          <w:szCs w:val="24"/>
        </w:rPr>
      </w:pPr>
      <w:r w:rsidRPr="007E1DF0">
        <w:rPr>
          <w:rFonts w:cs="Arial"/>
          <w:b/>
          <w:sz w:val="24"/>
          <w:szCs w:val="24"/>
        </w:rPr>
        <w:t xml:space="preserve">QUESTION </w:t>
      </w:r>
      <w:r w:rsidR="00BE13C3" w:rsidRPr="007E1DF0">
        <w:rPr>
          <w:rFonts w:cs="Arial"/>
          <w:b/>
          <w:sz w:val="24"/>
          <w:szCs w:val="24"/>
        </w:rPr>
        <w:t>FOR WRITTEN REPLY</w:t>
      </w:r>
    </w:p>
    <w:p w:rsidR="00ED491A" w:rsidRPr="007E1DF0" w:rsidRDefault="007E1DF0" w:rsidP="007E1DF0">
      <w:pPr>
        <w:spacing w:line="360" w:lineRule="auto"/>
        <w:rPr>
          <w:rFonts w:cs="Arial"/>
          <w:b/>
          <w:sz w:val="24"/>
          <w:szCs w:val="24"/>
        </w:rPr>
      </w:pPr>
      <w:r w:rsidRPr="007E1DF0">
        <w:rPr>
          <w:rFonts w:cs="Arial"/>
          <w:b/>
          <w:sz w:val="24"/>
          <w:szCs w:val="24"/>
        </w:rPr>
        <w:t xml:space="preserve">PARLIAMENTARY </w:t>
      </w:r>
      <w:r w:rsidR="00ED491A" w:rsidRPr="007E1DF0">
        <w:rPr>
          <w:rFonts w:cs="Arial"/>
          <w:b/>
          <w:sz w:val="24"/>
          <w:szCs w:val="24"/>
        </w:rPr>
        <w:t xml:space="preserve">QUESTION </w:t>
      </w:r>
      <w:r w:rsidRPr="007E1DF0">
        <w:rPr>
          <w:rFonts w:cs="Arial"/>
          <w:b/>
          <w:sz w:val="24"/>
          <w:szCs w:val="24"/>
        </w:rPr>
        <w:t xml:space="preserve">NO: </w:t>
      </w:r>
      <w:r w:rsidR="000657EF" w:rsidRPr="007E1DF0">
        <w:rPr>
          <w:rFonts w:cs="Arial"/>
          <w:b/>
          <w:sz w:val="24"/>
          <w:szCs w:val="24"/>
        </w:rPr>
        <w:t>1847</w:t>
      </w:r>
    </w:p>
    <w:p w:rsidR="007E1DF0" w:rsidRPr="007E1DF0" w:rsidRDefault="007E1DF0" w:rsidP="007E1DF0">
      <w:pPr>
        <w:spacing w:line="360" w:lineRule="auto"/>
        <w:rPr>
          <w:rFonts w:cs="Arial"/>
          <w:b/>
          <w:sz w:val="24"/>
          <w:szCs w:val="24"/>
        </w:rPr>
      </w:pPr>
      <w:r w:rsidRPr="007E1DF0">
        <w:rPr>
          <w:rFonts w:cs="Arial"/>
          <w:b/>
          <w:sz w:val="24"/>
          <w:szCs w:val="24"/>
        </w:rPr>
        <w:t>DATE OF QUESTION: 19 MAY 2023</w:t>
      </w:r>
    </w:p>
    <w:p w:rsidR="007E1DF0" w:rsidRPr="007E1DF0" w:rsidRDefault="007E1DF0" w:rsidP="007E1DF0">
      <w:pPr>
        <w:spacing w:line="360" w:lineRule="auto"/>
        <w:rPr>
          <w:rFonts w:cs="Arial"/>
          <w:b/>
          <w:sz w:val="24"/>
          <w:szCs w:val="24"/>
        </w:rPr>
      </w:pPr>
      <w:r w:rsidRPr="007E1DF0">
        <w:rPr>
          <w:rFonts w:cs="Arial"/>
          <w:b/>
          <w:sz w:val="24"/>
          <w:szCs w:val="24"/>
        </w:rPr>
        <w:t>DATE OF SUBMISSION: 02 JUNE 2023</w:t>
      </w:r>
    </w:p>
    <w:p w:rsidR="004B6288" w:rsidRPr="007E1DF0" w:rsidRDefault="004B6288" w:rsidP="007E1DF0">
      <w:pPr>
        <w:spacing w:line="360" w:lineRule="auto"/>
        <w:rPr>
          <w:rFonts w:cs="Arial"/>
          <w:b/>
          <w:sz w:val="24"/>
          <w:szCs w:val="24"/>
        </w:rPr>
      </w:pPr>
    </w:p>
    <w:p w:rsidR="000657EF" w:rsidRDefault="000657EF" w:rsidP="000657EF">
      <w:pPr>
        <w:rPr>
          <w:rFonts w:cs="Arial"/>
          <w:b/>
          <w:sz w:val="24"/>
          <w:szCs w:val="24"/>
        </w:rPr>
      </w:pPr>
      <w:r w:rsidRPr="000657EF">
        <w:rPr>
          <w:rFonts w:cs="Arial"/>
          <w:b/>
          <w:sz w:val="24"/>
          <w:szCs w:val="24"/>
        </w:rPr>
        <w:t>Mr J Engelbrecht (DA) to ask the Minister of Justice and Correctional Services:</w:t>
      </w:r>
    </w:p>
    <w:p w:rsidR="000657EF" w:rsidRPr="000657EF" w:rsidRDefault="000657EF" w:rsidP="000657EF">
      <w:pPr>
        <w:rPr>
          <w:rFonts w:cs="Arial"/>
          <w:sz w:val="24"/>
          <w:szCs w:val="24"/>
        </w:rPr>
      </w:pPr>
    </w:p>
    <w:p w:rsidR="000657EF" w:rsidRPr="000657EF" w:rsidRDefault="000657EF" w:rsidP="000657EF">
      <w:pPr>
        <w:ind w:left="567" w:hanging="567"/>
        <w:jc w:val="both"/>
        <w:rPr>
          <w:rFonts w:cs="Arial"/>
          <w:sz w:val="24"/>
          <w:szCs w:val="24"/>
        </w:rPr>
      </w:pPr>
      <w:r w:rsidRPr="000657EF">
        <w:rPr>
          <w:rFonts w:cs="Arial"/>
          <w:sz w:val="24"/>
          <w:szCs w:val="24"/>
        </w:rPr>
        <w:t>(1)</w:t>
      </w:r>
      <w:r w:rsidRPr="000657EF">
        <w:rPr>
          <w:rFonts w:cs="Arial"/>
          <w:sz w:val="24"/>
          <w:szCs w:val="24"/>
        </w:rPr>
        <w:tab/>
        <w:t>Whether the construction of security walls at the (a) Goodwood Regional office, (b) Allandale Correctional Centre and (c) Pollsmoor Correctional Centre was approved as a priority on the Infrastructure Plan which was submitted to the National Treasury for the (i) 2022-23 and (ii) 2023-24 financial years; if not, what is the position in this regard; if so, what are the relevant details;</w:t>
      </w:r>
    </w:p>
    <w:p w:rsidR="000657EF" w:rsidRPr="000657EF" w:rsidRDefault="000657EF" w:rsidP="000657EF">
      <w:pPr>
        <w:ind w:left="567" w:hanging="567"/>
        <w:jc w:val="both"/>
        <w:rPr>
          <w:rFonts w:cs="Arial"/>
          <w:sz w:val="24"/>
          <w:szCs w:val="24"/>
        </w:rPr>
      </w:pPr>
      <w:r w:rsidRPr="000657EF">
        <w:rPr>
          <w:rFonts w:cs="Arial"/>
          <w:sz w:val="24"/>
          <w:szCs w:val="24"/>
        </w:rPr>
        <w:t>(2)</w:t>
      </w:r>
      <w:r w:rsidRPr="000657EF">
        <w:rPr>
          <w:rFonts w:cs="Arial"/>
          <w:sz w:val="24"/>
          <w:szCs w:val="24"/>
        </w:rPr>
        <w:tab/>
        <w:t xml:space="preserve">Whether he will furnish Mr J Engelbrecht with the total expenditure for the construction of the specified security walls; if not, why not; if so, what are the relevant details; </w:t>
      </w:r>
    </w:p>
    <w:p w:rsidR="000657EF" w:rsidRPr="006C511F" w:rsidRDefault="000657EF" w:rsidP="000657EF">
      <w:pPr>
        <w:ind w:left="567" w:hanging="567"/>
        <w:jc w:val="both"/>
        <w:rPr>
          <w:rFonts w:cs="Arial"/>
          <w:b/>
          <w:sz w:val="24"/>
          <w:szCs w:val="24"/>
        </w:rPr>
      </w:pPr>
      <w:r w:rsidRPr="000657EF">
        <w:rPr>
          <w:rFonts w:cs="Arial"/>
          <w:sz w:val="24"/>
          <w:szCs w:val="24"/>
        </w:rPr>
        <w:t>(3)</w:t>
      </w:r>
      <w:r w:rsidRPr="000657EF">
        <w:rPr>
          <w:rFonts w:cs="Arial"/>
          <w:sz w:val="24"/>
          <w:szCs w:val="24"/>
        </w:rPr>
        <w:tab/>
        <w:t>Whether municipal approval was obtained prior to the commencement of the construction of the security walls; if not, why not; if so, what are the relevant details?</w:t>
      </w:r>
      <w:r w:rsidRPr="000657EF">
        <w:rPr>
          <w:rFonts w:cs="Arial"/>
          <w:sz w:val="24"/>
          <w:szCs w:val="24"/>
        </w:rPr>
        <w:tab/>
      </w:r>
      <w:r w:rsidRPr="000657EF">
        <w:rPr>
          <w:rFonts w:cs="Arial"/>
          <w:sz w:val="24"/>
          <w:szCs w:val="24"/>
        </w:rPr>
        <w:tab/>
      </w:r>
      <w:r w:rsidRPr="000657EF">
        <w:rPr>
          <w:rFonts w:cs="Arial"/>
          <w:sz w:val="24"/>
          <w:szCs w:val="24"/>
        </w:rPr>
        <w:tab/>
      </w:r>
      <w:r w:rsidRPr="000657EF">
        <w:rPr>
          <w:rFonts w:cs="Arial"/>
          <w:sz w:val="24"/>
          <w:szCs w:val="24"/>
        </w:rPr>
        <w:tab/>
      </w:r>
      <w:r w:rsidRPr="000657EF">
        <w:rPr>
          <w:rFonts w:cs="Arial"/>
          <w:sz w:val="24"/>
          <w:szCs w:val="24"/>
        </w:rPr>
        <w:tab/>
      </w:r>
      <w:r w:rsidRPr="000657EF">
        <w:rPr>
          <w:rFonts w:cs="Arial"/>
          <w:sz w:val="24"/>
          <w:szCs w:val="24"/>
        </w:rPr>
        <w:tab/>
      </w:r>
      <w:r w:rsidRPr="000657EF">
        <w:rPr>
          <w:rFonts w:cs="Arial"/>
          <w:sz w:val="24"/>
          <w:szCs w:val="24"/>
        </w:rPr>
        <w:tab/>
      </w:r>
      <w:r w:rsidRPr="000657EF">
        <w:rPr>
          <w:rFonts w:cs="Arial"/>
          <w:sz w:val="24"/>
          <w:szCs w:val="24"/>
        </w:rPr>
        <w:tab/>
      </w:r>
      <w:r w:rsidRPr="006C511F">
        <w:rPr>
          <w:rFonts w:cs="Arial"/>
          <w:b/>
          <w:sz w:val="24"/>
          <w:szCs w:val="24"/>
        </w:rPr>
        <w:t>NW2098E</w:t>
      </w:r>
    </w:p>
    <w:p w:rsidR="000657EF" w:rsidRPr="006C511F" w:rsidRDefault="000657EF" w:rsidP="0031710C">
      <w:pPr>
        <w:rPr>
          <w:rFonts w:cs="Arial"/>
          <w:b/>
          <w:sz w:val="24"/>
          <w:szCs w:val="24"/>
        </w:rPr>
      </w:pPr>
    </w:p>
    <w:p w:rsidR="000657EF" w:rsidRDefault="000657EF" w:rsidP="0031710C">
      <w:pPr>
        <w:rPr>
          <w:rFonts w:cs="Arial"/>
          <w:b/>
          <w:sz w:val="24"/>
          <w:szCs w:val="24"/>
        </w:rPr>
      </w:pPr>
    </w:p>
    <w:p w:rsidR="0031710C" w:rsidRDefault="0031710C" w:rsidP="0031710C">
      <w:pPr>
        <w:rPr>
          <w:rFonts w:cs="Arial"/>
          <w:b/>
          <w:sz w:val="24"/>
          <w:szCs w:val="24"/>
        </w:rPr>
      </w:pPr>
      <w:r w:rsidRPr="00ED491A">
        <w:rPr>
          <w:rFonts w:cs="Arial"/>
          <w:b/>
          <w:sz w:val="24"/>
          <w:szCs w:val="24"/>
        </w:rPr>
        <w:t>REPLY</w:t>
      </w:r>
    </w:p>
    <w:p w:rsidR="00A73D25" w:rsidRPr="00A73D25" w:rsidRDefault="00A73D25" w:rsidP="0031710C">
      <w:pPr>
        <w:rPr>
          <w:rFonts w:cs="Arial"/>
          <w:sz w:val="24"/>
          <w:szCs w:val="24"/>
        </w:rPr>
      </w:pPr>
    </w:p>
    <w:p w:rsidR="00CD075D" w:rsidRDefault="00CD075D" w:rsidP="008C3C86">
      <w:pPr>
        <w:spacing w:line="276" w:lineRule="auto"/>
        <w:ind w:left="1418" w:hanging="141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(1)(a &amp; c)</w:t>
      </w:r>
      <w:r>
        <w:rPr>
          <w:rFonts w:cs="Arial"/>
          <w:sz w:val="24"/>
          <w:szCs w:val="24"/>
        </w:rPr>
        <w:tab/>
      </w:r>
      <w:r w:rsidR="007A1507">
        <w:rPr>
          <w:rFonts w:cs="Arial"/>
          <w:sz w:val="24"/>
          <w:szCs w:val="24"/>
        </w:rPr>
        <w:t xml:space="preserve">No, </w:t>
      </w:r>
      <w:r w:rsidR="008C3C86">
        <w:rPr>
          <w:rFonts w:cs="Arial"/>
          <w:sz w:val="24"/>
          <w:szCs w:val="24"/>
        </w:rPr>
        <w:t>Goodwood Regional Office and</w:t>
      </w:r>
      <w:r w:rsidR="00A73D25" w:rsidRPr="00A73D25">
        <w:rPr>
          <w:rFonts w:cs="Arial"/>
          <w:sz w:val="24"/>
          <w:szCs w:val="24"/>
        </w:rPr>
        <w:t xml:space="preserve"> Pollsmoor Correctional Centre’s installation of vib</w:t>
      </w:r>
      <w:r w:rsidR="008C3C86">
        <w:rPr>
          <w:rFonts w:cs="Arial"/>
          <w:sz w:val="24"/>
          <w:szCs w:val="24"/>
        </w:rPr>
        <w:t>r</w:t>
      </w:r>
      <w:r w:rsidR="00A73D25" w:rsidRPr="00A73D25">
        <w:rPr>
          <w:rFonts w:cs="Arial"/>
          <w:sz w:val="24"/>
          <w:szCs w:val="24"/>
        </w:rPr>
        <w:t xml:space="preserve">acrete walls does not fall into the respective financial years as stipulated in the above question. </w:t>
      </w:r>
      <w:r w:rsidR="008C3C86">
        <w:rPr>
          <w:rFonts w:cs="Arial"/>
          <w:sz w:val="24"/>
          <w:szCs w:val="24"/>
        </w:rPr>
        <w:t xml:space="preserve"> </w:t>
      </w:r>
      <w:r w:rsidR="00A73D25" w:rsidRPr="00A73D25">
        <w:rPr>
          <w:rFonts w:cs="Arial"/>
          <w:sz w:val="24"/>
          <w:szCs w:val="24"/>
        </w:rPr>
        <w:t xml:space="preserve">It is for this reason it does not appear on the infrastructure plan. </w:t>
      </w:r>
    </w:p>
    <w:p w:rsidR="00E25E24" w:rsidRDefault="00E25E24" w:rsidP="008C3C86">
      <w:pPr>
        <w:spacing w:line="276" w:lineRule="auto"/>
        <w:ind w:left="567" w:hanging="567"/>
        <w:jc w:val="both"/>
        <w:rPr>
          <w:rFonts w:cs="Arial"/>
          <w:sz w:val="24"/>
          <w:szCs w:val="24"/>
        </w:rPr>
      </w:pPr>
    </w:p>
    <w:p w:rsidR="00A73D25" w:rsidRPr="00A73D25" w:rsidRDefault="00E25E24" w:rsidP="008C3C86">
      <w:pPr>
        <w:spacing w:line="276" w:lineRule="auto"/>
        <w:ind w:left="709" w:hanging="85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</w:t>
      </w:r>
      <w:r w:rsidR="00CD075D">
        <w:rPr>
          <w:rFonts w:cs="Arial"/>
          <w:sz w:val="24"/>
          <w:szCs w:val="24"/>
        </w:rPr>
        <w:t>1)(b)</w:t>
      </w:r>
      <w:r w:rsidR="00CD075D">
        <w:rPr>
          <w:rFonts w:cs="Arial"/>
          <w:sz w:val="24"/>
          <w:szCs w:val="24"/>
        </w:rPr>
        <w:tab/>
      </w:r>
      <w:r w:rsidR="00A73D25" w:rsidRPr="00A73D25">
        <w:rPr>
          <w:rFonts w:cs="Arial"/>
          <w:sz w:val="24"/>
          <w:szCs w:val="24"/>
        </w:rPr>
        <w:t>Allandale Correctional Centre’s installation work is being done by D</w:t>
      </w:r>
      <w:r>
        <w:rPr>
          <w:rFonts w:cs="Arial"/>
          <w:sz w:val="24"/>
          <w:szCs w:val="24"/>
        </w:rPr>
        <w:t xml:space="preserve">epartment of </w:t>
      </w:r>
      <w:r w:rsidR="00A73D25" w:rsidRPr="00A73D25">
        <w:rPr>
          <w:rFonts w:cs="Arial"/>
          <w:sz w:val="24"/>
          <w:szCs w:val="24"/>
        </w:rPr>
        <w:t>P</w:t>
      </w:r>
      <w:r>
        <w:rPr>
          <w:rFonts w:cs="Arial"/>
          <w:sz w:val="24"/>
          <w:szCs w:val="24"/>
        </w:rPr>
        <w:t xml:space="preserve">ublic </w:t>
      </w:r>
      <w:r w:rsidR="00A73D25" w:rsidRPr="00A73D25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 xml:space="preserve">orks and </w:t>
      </w:r>
      <w:r w:rsidRPr="00A73D25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>nfrastructure</w:t>
      </w:r>
      <w:r w:rsidR="00A73D25" w:rsidRPr="00A73D2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(DPWI) </w:t>
      </w:r>
      <w:r w:rsidR="00A73D25" w:rsidRPr="00A73D25">
        <w:rPr>
          <w:rFonts w:cs="Arial"/>
          <w:sz w:val="24"/>
          <w:szCs w:val="24"/>
        </w:rPr>
        <w:t>and therefore does not appear on the infrastructure plan</w:t>
      </w:r>
      <w:r>
        <w:rPr>
          <w:rFonts w:cs="Arial"/>
          <w:sz w:val="24"/>
          <w:szCs w:val="24"/>
        </w:rPr>
        <w:t xml:space="preserve"> of the Department of Correctional Services</w:t>
      </w:r>
    </w:p>
    <w:p w:rsidR="00A73D25" w:rsidRPr="00A73D25" w:rsidRDefault="00A73D25" w:rsidP="008C3C86">
      <w:pPr>
        <w:spacing w:line="276" w:lineRule="auto"/>
        <w:jc w:val="both"/>
        <w:rPr>
          <w:rFonts w:cs="Arial"/>
          <w:sz w:val="24"/>
          <w:szCs w:val="24"/>
        </w:rPr>
      </w:pPr>
    </w:p>
    <w:p w:rsidR="00A73D25" w:rsidRPr="00A73D25" w:rsidRDefault="00A73D25" w:rsidP="008C3C86">
      <w:pPr>
        <w:spacing w:line="276" w:lineRule="auto"/>
        <w:ind w:left="567" w:hanging="567"/>
        <w:jc w:val="both"/>
        <w:rPr>
          <w:rFonts w:cs="Arial"/>
          <w:sz w:val="24"/>
          <w:szCs w:val="24"/>
        </w:rPr>
      </w:pPr>
      <w:r w:rsidRPr="00A73D25">
        <w:rPr>
          <w:rFonts w:cs="Arial"/>
          <w:sz w:val="24"/>
          <w:szCs w:val="24"/>
        </w:rPr>
        <w:t>(2)</w:t>
      </w:r>
      <w:r w:rsidRPr="00A73D25">
        <w:rPr>
          <w:rFonts w:cs="Arial"/>
          <w:sz w:val="24"/>
          <w:szCs w:val="24"/>
        </w:rPr>
        <w:tab/>
        <w:t xml:space="preserve">The total expenditure </w:t>
      </w:r>
      <w:r w:rsidR="00E45EC0">
        <w:rPr>
          <w:rFonts w:cs="Arial"/>
          <w:sz w:val="24"/>
          <w:szCs w:val="24"/>
        </w:rPr>
        <w:t xml:space="preserve">incurred </w:t>
      </w:r>
      <w:r w:rsidRPr="00A73D25">
        <w:rPr>
          <w:rFonts w:cs="Arial"/>
          <w:sz w:val="24"/>
          <w:szCs w:val="24"/>
        </w:rPr>
        <w:t xml:space="preserve">was for the purchase of </w:t>
      </w:r>
      <w:r w:rsidR="00E45EC0">
        <w:rPr>
          <w:rFonts w:cs="Arial"/>
          <w:sz w:val="24"/>
          <w:szCs w:val="24"/>
        </w:rPr>
        <w:t xml:space="preserve">building </w:t>
      </w:r>
      <w:r w:rsidRPr="00A73D25">
        <w:rPr>
          <w:rFonts w:cs="Arial"/>
          <w:sz w:val="24"/>
          <w:szCs w:val="24"/>
        </w:rPr>
        <w:t>material as follows:</w:t>
      </w:r>
    </w:p>
    <w:p w:rsidR="00A73D25" w:rsidRPr="00A73D25" w:rsidRDefault="00A73D25" w:rsidP="008C3C86">
      <w:pPr>
        <w:numPr>
          <w:ilvl w:val="0"/>
          <w:numId w:val="4"/>
        </w:numPr>
        <w:spacing w:line="276" w:lineRule="auto"/>
        <w:ind w:hanging="720"/>
        <w:jc w:val="both"/>
        <w:rPr>
          <w:rFonts w:cs="Arial"/>
          <w:sz w:val="24"/>
          <w:szCs w:val="24"/>
        </w:rPr>
      </w:pPr>
      <w:r w:rsidRPr="00A73D25">
        <w:rPr>
          <w:rFonts w:cs="Arial"/>
          <w:sz w:val="24"/>
          <w:szCs w:val="24"/>
        </w:rPr>
        <w:lastRenderedPageBreak/>
        <w:t>Pollsmoor Management Area - R490</w:t>
      </w:r>
      <w:r w:rsidR="00E25E24">
        <w:rPr>
          <w:rFonts w:cs="Arial"/>
          <w:sz w:val="24"/>
          <w:szCs w:val="24"/>
        </w:rPr>
        <w:t> </w:t>
      </w:r>
      <w:r w:rsidRPr="00A73D25">
        <w:rPr>
          <w:rFonts w:cs="Arial"/>
          <w:sz w:val="24"/>
          <w:szCs w:val="24"/>
        </w:rPr>
        <w:t>000</w:t>
      </w:r>
      <w:r w:rsidR="00E25E24">
        <w:rPr>
          <w:rFonts w:cs="Arial"/>
          <w:sz w:val="24"/>
          <w:szCs w:val="24"/>
        </w:rPr>
        <w:t>.00</w:t>
      </w:r>
      <w:r w:rsidRPr="00A73D25">
        <w:rPr>
          <w:rFonts w:cs="Arial"/>
          <w:sz w:val="24"/>
          <w:szCs w:val="24"/>
        </w:rPr>
        <w:t>;</w:t>
      </w:r>
    </w:p>
    <w:p w:rsidR="00A73D25" w:rsidRPr="00A73D25" w:rsidRDefault="00A73D25" w:rsidP="008C3C86">
      <w:pPr>
        <w:numPr>
          <w:ilvl w:val="0"/>
          <w:numId w:val="4"/>
        </w:numPr>
        <w:spacing w:line="276" w:lineRule="auto"/>
        <w:ind w:hanging="720"/>
        <w:jc w:val="both"/>
        <w:rPr>
          <w:rFonts w:cs="Arial"/>
          <w:sz w:val="24"/>
          <w:szCs w:val="24"/>
        </w:rPr>
      </w:pPr>
      <w:r w:rsidRPr="00A73D25">
        <w:rPr>
          <w:rFonts w:cs="Arial"/>
          <w:sz w:val="24"/>
          <w:szCs w:val="24"/>
        </w:rPr>
        <w:t>Allandale Management Area – R 866 844.60;</w:t>
      </w:r>
    </w:p>
    <w:p w:rsidR="00A73D25" w:rsidRPr="00A73D25" w:rsidRDefault="00A73D25" w:rsidP="008C3C86">
      <w:pPr>
        <w:numPr>
          <w:ilvl w:val="0"/>
          <w:numId w:val="4"/>
        </w:numPr>
        <w:spacing w:line="276" w:lineRule="auto"/>
        <w:ind w:hanging="720"/>
        <w:jc w:val="both"/>
        <w:rPr>
          <w:rFonts w:cs="Arial"/>
          <w:sz w:val="24"/>
          <w:szCs w:val="24"/>
        </w:rPr>
      </w:pPr>
      <w:r w:rsidRPr="00A73D25">
        <w:rPr>
          <w:rFonts w:cs="Arial"/>
          <w:sz w:val="24"/>
          <w:szCs w:val="24"/>
        </w:rPr>
        <w:t>Goodwood Management Area – R324 000.51</w:t>
      </w:r>
    </w:p>
    <w:p w:rsidR="00A73D25" w:rsidRPr="00A73D25" w:rsidRDefault="00A73D25" w:rsidP="008C3C86">
      <w:pPr>
        <w:spacing w:line="276" w:lineRule="auto"/>
        <w:jc w:val="both"/>
        <w:rPr>
          <w:rFonts w:cs="Arial"/>
          <w:sz w:val="24"/>
          <w:szCs w:val="24"/>
        </w:rPr>
      </w:pPr>
    </w:p>
    <w:p w:rsidR="00A73D25" w:rsidRPr="00A73D25" w:rsidRDefault="00E45EC0" w:rsidP="008C3C86">
      <w:pPr>
        <w:spacing w:line="276" w:lineRule="auto"/>
        <w:ind w:left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Own resources were utilised for construction of the walls at </w:t>
      </w:r>
      <w:r w:rsidR="00A73D25" w:rsidRPr="00A73D25">
        <w:rPr>
          <w:rFonts w:cs="Arial"/>
          <w:sz w:val="24"/>
          <w:szCs w:val="24"/>
        </w:rPr>
        <w:t>Goodwood and Pollsmoor Management Areas.</w:t>
      </w:r>
      <w:r w:rsidR="008C3C86">
        <w:rPr>
          <w:rFonts w:cs="Arial"/>
          <w:sz w:val="24"/>
          <w:szCs w:val="24"/>
        </w:rPr>
        <w:t xml:space="preserve"> </w:t>
      </w:r>
      <w:r w:rsidR="00A73D25" w:rsidRPr="00A73D25">
        <w:rPr>
          <w:rFonts w:cs="Arial"/>
          <w:sz w:val="24"/>
          <w:szCs w:val="24"/>
        </w:rPr>
        <w:t xml:space="preserve"> In Allandale Management Area DPWI is assisting </w:t>
      </w:r>
      <w:r w:rsidR="007B5C8A">
        <w:rPr>
          <w:rFonts w:cs="Arial"/>
          <w:sz w:val="24"/>
          <w:szCs w:val="24"/>
        </w:rPr>
        <w:t>with</w:t>
      </w:r>
      <w:r w:rsidR="00A73D25" w:rsidRPr="00A73D25">
        <w:rPr>
          <w:rFonts w:cs="Arial"/>
          <w:sz w:val="24"/>
          <w:szCs w:val="24"/>
        </w:rPr>
        <w:t xml:space="preserve"> </w:t>
      </w:r>
      <w:r w:rsidR="008C3C86">
        <w:rPr>
          <w:rFonts w:cs="Arial"/>
          <w:sz w:val="24"/>
          <w:szCs w:val="24"/>
        </w:rPr>
        <w:t xml:space="preserve">the </w:t>
      </w:r>
      <w:r w:rsidR="00A73D25" w:rsidRPr="00A73D25">
        <w:rPr>
          <w:rFonts w:cs="Arial"/>
          <w:sz w:val="24"/>
          <w:szCs w:val="24"/>
        </w:rPr>
        <w:t xml:space="preserve">use of a service provider for the </w:t>
      </w:r>
      <w:r w:rsidR="0022477A">
        <w:rPr>
          <w:rFonts w:cs="Arial"/>
          <w:sz w:val="24"/>
          <w:szCs w:val="24"/>
        </w:rPr>
        <w:t>construction</w:t>
      </w:r>
      <w:r w:rsidR="00A73D25" w:rsidRPr="00A73D25">
        <w:rPr>
          <w:rFonts w:cs="Arial"/>
          <w:sz w:val="24"/>
          <w:szCs w:val="24"/>
        </w:rPr>
        <w:t>.</w:t>
      </w:r>
    </w:p>
    <w:p w:rsidR="00A73D25" w:rsidRPr="00A73D25" w:rsidRDefault="00A73D25" w:rsidP="008C3C86">
      <w:pPr>
        <w:spacing w:line="276" w:lineRule="auto"/>
        <w:jc w:val="both"/>
        <w:rPr>
          <w:rFonts w:cs="Arial"/>
          <w:sz w:val="24"/>
          <w:szCs w:val="24"/>
        </w:rPr>
      </w:pPr>
    </w:p>
    <w:p w:rsidR="00A73D25" w:rsidRPr="00A73D25" w:rsidRDefault="00A73D25" w:rsidP="008C3C86">
      <w:pPr>
        <w:spacing w:line="276" w:lineRule="auto"/>
        <w:ind w:left="567" w:hanging="567"/>
        <w:jc w:val="both"/>
        <w:rPr>
          <w:rFonts w:cs="Arial"/>
          <w:sz w:val="24"/>
          <w:szCs w:val="24"/>
        </w:rPr>
      </w:pPr>
      <w:r w:rsidRPr="00A73D25">
        <w:rPr>
          <w:rFonts w:cs="Arial"/>
          <w:sz w:val="24"/>
          <w:szCs w:val="24"/>
        </w:rPr>
        <w:t>(3)</w:t>
      </w:r>
      <w:r>
        <w:rPr>
          <w:rFonts w:cs="Arial"/>
          <w:sz w:val="24"/>
          <w:szCs w:val="24"/>
        </w:rPr>
        <w:tab/>
      </w:r>
      <w:r w:rsidRPr="00A73D25">
        <w:rPr>
          <w:rFonts w:cs="Arial"/>
          <w:sz w:val="24"/>
          <w:szCs w:val="24"/>
        </w:rPr>
        <w:t>According to the National Building Regulations and Building Standards, Act No.103, 1977 section 2 subsection 3 does not bind the State in submitting building plans to the Municipality.</w:t>
      </w:r>
    </w:p>
    <w:p w:rsidR="0031710C" w:rsidRDefault="0031710C" w:rsidP="0031710C">
      <w:pPr>
        <w:rPr>
          <w:rFonts w:cs="Arial"/>
          <w:b/>
          <w:sz w:val="24"/>
          <w:szCs w:val="24"/>
        </w:rPr>
      </w:pPr>
    </w:p>
    <w:p w:rsidR="0031710C" w:rsidRDefault="0031710C" w:rsidP="0031710C">
      <w:pPr>
        <w:rPr>
          <w:rFonts w:cs="Arial"/>
          <w:b/>
          <w:sz w:val="24"/>
          <w:szCs w:val="24"/>
        </w:rPr>
      </w:pPr>
    </w:p>
    <w:p w:rsidR="0031710C" w:rsidRDefault="00A73D25" w:rsidP="0031710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END.</w:t>
      </w:r>
    </w:p>
    <w:sectPr w:rsidR="0031710C" w:rsidSect="0022477A">
      <w:footerReference w:type="default" r:id="rId8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0A9" w:rsidRDefault="008240A9" w:rsidP="00032D81">
      <w:r>
        <w:separator/>
      </w:r>
    </w:p>
  </w:endnote>
  <w:endnote w:type="continuationSeparator" w:id="0">
    <w:p w:rsidR="008240A9" w:rsidRDefault="008240A9" w:rsidP="00032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81" w:rsidRDefault="00032D81" w:rsidP="00032D81">
    <w:pPr>
      <w:pStyle w:val="Footer"/>
    </w:pPr>
    <w:r>
      <w:t>PQ</w:t>
    </w:r>
    <w:r w:rsidR="000657EF">
      <w:t>1847</w:t>
    </w:r>
    <w:r w:rsidR="00610CFC">
      <w:t>- NW</w:t>
    </w:r>
    <w:r w:rsidR="000657EF">
      <w:t>2098</w:t>
    </w:r>
    <w:r w:rsidR="009F78B2">
      <w:t>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240A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240A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0A9" w:rsidRDefault="008240A9" w:rsidP="00032D81">
      <w:r>
        <w:separator/>
      </w:r>
    </w:p>
  </w:footnote>
  <w:footnote w:type="continuationSeparator" w:id="0">
    <w:p w:rsidR="008240A9" w:rsidRDefault="008240A9" w:rsidP="00032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411"/>
    <w:multiLevelType w:val="hybridMultilevel"/>
    <w:tmpl w:val="10EC94E2"/>
    <w:lvl w:ilvl="0" w:tplc="5B3A35E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20EC9"/>
    <w:multiLevelType w:val="hybridMultilevel"/>
    <w:tmpl w:val="96FAA4BC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7E1A51"/>
    <w:multiLevelType w:val="hybridMultilevel"/>
    <w:tmpl w:val="74D0BB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80660"/>
    <w:multiLevelType w:val="hybridMultilevel"/>
    <w:tmpl w:val="FDEE2BF8"/>
    <w:lvl w:ilvl="0" w:tplc="7FC2C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13C3"/>
    <w:rsid w:val="000063AE"/>
    <w:rsid w:val="00032D81"/>
    <w:rsid w:val="000451B8"/>
    <w:rsid w:val="000657EF"/>
    <w:rsid w:val="000A58CF"/>
    <w:rsid w:val="000D32B1"/>
    <w:rsid w:val="00172372"/>
    <w:rsid w:val="001B4208"/>
    <w:rsid w:val="0022477A"/>
    <w:rsid w:val="0031710C"/>
    <w:rsid w:val="003308FF"/>
    <w:rsid w:val="00395AA7"/>
    <w:rsid w:val="0044622A"/>
    <w:rsid w:val="004B6288"/>
    <w:rsid w:val="004F68F4"/>
    <w:rsid w:val="005110A4"/>
    <w:rsid w:val="00610CFC"/>
    <w:rsid w:val="006C511F"/>
    <w:rsid w:val="0071243D"/>
    <w:rsid w:val="007177EB"/>
    <w:rsid w:val="00730725"/>
    <w:rsid w:val="00737344"/>
    <w:rsid w:val="007A1507"/>
    <w:rsid w:val="007B5C8A"/>
    <w:rsid w:val="007C6BA3"/>
    <w:rsid w:val="007E1DF0"/>
    <w:rsid w:val="008240A9"/>
    <w:rsid w:val="0083606C"/>
    <w:rsid w:val="008C3C86"/>
    <w:rsid w:val="009C07E8"/>
    <w:rsid w:val="009F78B2"/>
    <w:rsid w:val="00A73D25"/>
    <w:rsid w:val="00B22C58"/>
    <w:rsid w:val="00B6148A"/>
    <w:rsid w:val="00B875C1"/>
    <w:rsid w:val="00BD2D2D"/>
    <w:rsid w:val="00BE13C3"/>
    <w:rsid w:val="00C5056B"/>
    <w:rsid w:val="00C92B71"/>
    <w:rsid w:val="00CD075D"/>
    <w:rsid w:val="00CD0BEB"/>
    <w:rsid w:val="00D51A9E"/>
    <w:rsid w:val="00E25E24"/>
    <w:rsid w:val="00E45EC0"/>
    <w:rsid w:val="00ED491A"/>
    <w:rsid w:val="00F23C31"/>
    <w:rsid w:val="00F4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D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32D81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2D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2D81"/>
    <w:rPr>
      <w:rFonts w:ascii="Arial" w:eastAsia="Times New Roman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78B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cp:lastPrinted>2023-06-19T09:06:00Z</cp:lastPrinted>
  <dcterms:created xsi:type="dcterms:W3CDTF">2023-06-30T11:12:00Z</dcterms:created>
  <dcterms:modified xsi:type="dcterms:W3CDTF">2023-06-30T11:12:00Z</dcterms:modified>
</cp:coreProperties>
</file>