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652152" w:rsidRDefault="00652152" w:rsidP="00652152">
      <w:pPr>
        <w:tabs>
          <w:tab w:val="left" w:pos="1080"/>
          <w:tab w:val="left" w:pos="1620"/>
          <w:tab w:val="left" w:pos="2340"/>
        </w:tabs>
        <w:spacing w:line="360" w:lineRule="auto"/>
        <w:jc w:val="both"/>
        <w:rPr>
          <w:rFonts w:ascii="Arial" w:hAnsi="Arial" w:cs="Arial"/>
          <w:b/>
          <w:bCs/>
          <w:sz w:val="22"/>
          <w:szCs w:val="22"/>
          <w:lang w:val="en-US"/>
        </w:rPr>
      </w:pPr>
      <w:r w:rsidRPr="00652152">
        <w:rPr>
          <w:rFonts w:ascii="Arial" w:hAnsi="Arial" w:cs="Arial"/>
          <w:b/>
          <w:bCs/>
          <w:sz w:val="22"/>
          <w:szCs w:val="22"/>
          <w:lang w:val="en-US"/>
        </w:rPr>
        <w:t>National Assembly</w:t>
      </w:r>
    </w:p>
    <w:p w:rsidR="00652152" w:rsidRPr="00652152" w:rsidRDefault="00652152" w:rsidP="00652152">
      <w:pPr>
        <w:tabs>
          <w:tab w:val="left" w:pos="1080"/>
          <w:tab w:val="left" w:pos="1620"/>
          <w:tab w:val="left" w:pos="2340"/>
        </w:tabs>
        <w:spacing w:line="360" w:lineRule="auto"/>
        <w:jc w:val="both"/>
        <w:rPr>
          <w:rFonts w:ascii="Arial" w:hAnsi="Arial" w:cs="Arial"/>
          <w:b/>
          <w:bCs/>
          <w:sz w:val="22"/>
          <w:szCs w:val="22"/>
          <w:lang w:val="en-US"/>
        </w:rPr>
      </w:pPr>
      <w:r w:rsidRPr="00652152">
        <w:rPr>
          <w:rFonts w:ascii="Arial" w:hAnsi="Arial" w:cs="Arial"/>
          <w:b/>
          <w:bCs/>
          <w:sz w:val="22"/>
          <w:szCs w:val="22"/>
          <w:lang w:val="en-US"/>
        </w:rPr>
        <w:t>Question No: 1843</w:t>
      </w:r>
    </w:p>
    <w:p w:rsidR="00E85026" w:rsidRPr="00652152" w:rsidRDefault="00E85026" w:rsidP="00E85026">
      <w:pPr>
        <w:spacing w:before="100" w:beforeAutospacing="1" w:after="100" w:afterAutospacing="1"/>
        <w:ind w:left="720" w:hanging="720"/>
        <w:jc w:val="both"/>
        <w:outlineLvl w:val="0"/>
        <w:rPr>
          <w:rFonts w:ascii="Arial" w:hAnsi="Arial" w:cs="Arial"/>
          <w:sz w:val="22"/>
          <w:szCs w:val="22"/>
        </w:rPr>
      </w:pPr>
      <w:r w:rsidRPr="00652152">
        <w:rPr>
          <w:rFonts w:ascii="Arial" w:hAnsi="Arial" w:cs="Arial"/>
          <w:b/>
          <w:sz w:val="22"/>
          <w:szCs w:val="22"/>
        </w:rPr>
        <w:t>Mrs M O Clarke (DA) to ask the Minister of Transport</w:t>
      </w:r>
      <w:r w:rsidRPr="00652152">
        <w:rPr>
          <w:rFonts w:ascii="Arial" w:hAnsi="Arial" w:cs="Arial"/>
          <w:b/>
          <w:sz w:val="22"/>
          <w:szCs w:val="22"/>
        </w:rPr>
        <w:fldChar w:fldCharType="begin"/>
      </w:r>
      <w:r w:rsidRPr="00652152">
        <w:rPr>
          <w:rFonts w:ascii="Arial" w:hAnsi="Arial" w:cs="Arial"/>
          <w:sz w:val="22"/>
          <w:szCs w:val="22"/>
        </w:rPr>
        <w:instrText xml:space="preserve"> XE "</w:instrText>
      </w:r>
      <w:r w:rsidRPr="00652152">
        <w:rPr>
          <w:rFonts w:ascii="Arial" w:hAnsi="Arial" w:cs="Arial"/>
          <w:b/>
          <w:noProof/>
          <w:sz w:val="22"/>
          <w:szCs w:val="22"/>
          <w:lang w:val="af-ZA"/>
        </w:rPr>
        <w:instrText>Transport</w:instrText>
      </w:r>
      <w:r w:rsidRPr="00652152">
        <w:rPr>
          <w:rFonts w:ascii="Arial" w:hAnsi="Arial" w:cs="Arial"/>
          <w:sz w:val="22"/>
          <w:szCs w:val="22"/>
        </w:rPr>
        <w:instrText xml:space="preserve">" </w:instrText>
      </w:r>
      <w:r w:rsidRPr="00652152">
        <w:rPr>
          <w:rFonts w:ascii="Arial" w:hAnsi="Arial" w:cs="Arial"/>
          <w:b/>
          <w:sz w:val="22"/>
          <w:szCs w:val="22"/>
        </w:rPr>
        <w:fldChar w:fldCharType="end"/>
      </w:r>
      <w:r w:rsidRPr="00652152">
        <w:rPr>
          <w:rFonts w:ascii="Arial" w:hAnsi="Arial" w:cs="Arial"/>
          <w:b/>
          <w:sz w:val="22"/>
          <w:szCs w:val="22"/>
        </w:rPr>
        <w:t xml:space="preserve">: </w:t>
      </w:r>
    </w:p>
    <w:p w:rsidR="00E85026" w:rsidRPr="00652152" w:rsidRDefault="00E85026" w:rsidP="00B06BAA">
      <w:pPr>
        <w:spacing w:before="100" w:beforeAutospacing="1" w:after="100" w:afterAutospacing="1"/>
        <w:ind w:left="567" w:hanging="567"/>
        <w:jc w:val="both"/>
        <w:outlineLvl w:val="0"/>
        <w:rPr>
          <w:rFonts w:ascii="Arial" w:hAnsi="Arial" w:cs="Arial"/>
          <w:sz w:val="22"/>
          <w:szCs w:val="22"/>
        </w:rPr>
      </w:pPr>
      <w:r w:rsidRPr="00652152">
        <w:rPr>
          <w:rFonts w:ascii="Arial" w:hAnsi="Arial" w:cs="Arial"/>
          <w:sz w:val="22"/>
          <w:szCs w:val="22"/>
        </w:rPr>
        <w:t>(1)</w:t>
      </w:r>
      <w:r w:rsidRPr="00652152">
        <w:rPr>
          <w:rFonts w:ascii="Arial" w:hAnsi="Arial" w:cs="Arial"/>
          <w:sz w:val="22"/>
          <w:szCs w:val="22"/>
        </w:rPr>
        <w:tab/>
        <w:t xml:space="preserve">Whether he will furnish Mrs M O Clarke with (a) a maintenance schedule for the properties of the Passenger Rail Agency of South Africa (Prasa) in terms of (i) cutting the grass, (ii) picking up litter and (iii) the maintenance of fences and </w:t>
      </w:r>
      <w:bookmarkStart w:id="0" w:name="_Hlk81300601"/>
      <w:r w:rsidRPr="00652152">
        <w:rPr>
          <w:rFonts w:ascii="Arial" w:hAnsi="Arial" w:cs="Arial"/>
          <w:sz w:val="22"/>
          <w:szCs w:val="22"/>
        </w:rPr>
        <w:t>(b) a schedule and plan on how Transnet and Prasa plan to secure residents of Transnet and Prasa railway properties against crime; if not, what is the position in each case; if so, what are the relevant details in each case;</w:t>
      </w:r>
    </w:p>
    <w:bookmarkEnd w:id="0"/>
    <w:p w:rsidR="00E85026" w:rsidRPr="00652152" w:rsidRDefault="00E85026" w:rsidP="00B06BAA">
      <w:pPr>
        <w:spacing w:before="100" w:beforeAutospacing="1" w:after="100" w:afterAutospacing="1"/>
        <w:ind w:left="567" w:hanging="567"/>
        <w:jc w:val="both"/>
        <w:outlineLvl w:val="0"/>
        <w:rPr>
          <w:rFonts w:ascii="Arial" w:hAnsi="Arial" w:cs="Arial"/>
          <w:sz w:val="22"/>
          <w:szCs w:val="22"/>
        </w:rPr>
      </w:pPr>
      <w:r w:rsidRPr="00652152">
        <w:rPr>
          <w:rFonts w:ascii="Arial" w:hAnsi="Arial" w:cs="Arial"/>
          <w:sz w:val="22"/>
          <w:szCs w:val="22"/>
        </w:rPr>
        <w:t>(2)</w:t>
      </w:r>
      <w:r w:rsidRPr="00652152">
        <w:rPr>
          <w:rFonts w:ascii="Arial" w:hAnsi="Arial" w:cs="Arial"/>
          <w:sz w:val="22"/>
          <w:szCs w:val="22"/>
        </w:rPr>
        <w:tab/>
        <w:t xml:space="preserve"> </w:t>
      </w:r>
      <w:proofErr w:type="gramStart"/>
      <w:r w:rsidRPr="00652152">
        <w:rPr>
          <w:rFonts w:ascii="Arial" w:hAnsi="Arial" w:cs="Arial"/>
          <w:sz w:val="22"/>
          <w:szCs w:val="22"/>
        </w:rPr>
        <w:t>on</w:t>
      </w:r>
      <w:proofErr w:type="gramEnd"/>
      <w:r w:rsidRPr="00652152">
        <w:rPr>
          <w:rFonts w:ascii="Arial" w:hAnsi="Arial" w:cs="Arial"/>
          <w:sz w:val="22"/>
          <w:szCs w:val="22"/>
        </w:rPr>
        <w:t xml:space="preserve"> what date will the missing fences around the specified properties be replaced?</w:t>
      </w:r>
      <w:r w:rsidRPr="00652152">
        <w:rPr>
          <w:rFonts w:ascii="Arial" w:hAnsi="Arial" w:cs="Arial"/>
          <w:sz w:val="22"/>
          <w:szCs w:val="22"/>
        </w:rPr>
        <w:tab/>
      </w:r>
      <w:r w:rsidRPr="00652152">
        <w:rPr>
          <w:rFonts w:ascii="Arial" w:hAnsi="Arial" w:cs="Arial"/>
          <w:sz w:val="22"/>
          <w:szCs w:val="22"/>
        </w:rPr>
        <w:tab/>
      </w:r>
      <w:r w:rsidRPr="00652152">
        <w:rPr>
          <w:rFonts w:ascii="Arial" w:hAnsi="Arial" w:cs="Arial"/>
          <w:sz w:val="22"/>
          <w:szCs w:val="22"/>
        </w:rPr>
        <w:tab/>
      </w:r>
      <w:r w:rsidRPr="00652152">
        <w:rPr>
          <w:rFonts w:ascii="Arial" w:hAnsi="Arial" w:cs="Arial"/>
          <w:sz w:val="22"/>
          <w:szCs w:val="22"/>
        </w:rPr>
        <w:tab/>
      </w:r>
      <w:r w:rsidRPr="00652152">
        <w:rPr>
          <w:rFonts w:ascii="Arial" w:hAnsi="Arial" w:cs="Arial"/>
          <w:sz w:val="22"/>
          <w:szCs w:val="22"/>
        </w:rPr>
        <w:tab/>
      </w:r>
      <w:r w:rsidRPr="00652152">
        <w:rPr>
          <w:rFonts w:ascii="Arial" w:hAnsi="Arial" w:cs="Arial"/>
          <w:sz w:val="22"/>
          <w:szCs w:val="22"/>
        </w:rPr>
        <w:tab/>
      </w:r>
      <w:r w:rsidRPr="00652152">
        <w:rPr>
          <w:rFonts w:ascii="Arial" w:hAnsi="Arial" w:cs="Arial"/>
          <w:sz w:val="22"/>
          <w:szCs w:val="22"/>
        </w:rPr>
        <w:tab/>
      </w:r>
      <w:r w:rsidRPr="00652152">
        <w:rPr>
          <w:rFonts w:ascii="Arial" w:hAnsi="Arial" w:cs="Arial"/>
          <w:sz w:val="22"/>
          <w:szCs w:val="22"/>
        </w:rPr>
        <w:tab/>
        <w:t>NW2067E</w:t>
      </w:r>
    </w:p>
    <w:p w:rsidR="0082465F" w:rsidRPr="00652152" w:rsidRDefault="00431FFB" w:rsidP="00806B90">
      <w:pPr>
        <w:spacing w:before="100" w:beforeAutospacing="1" w:after="100" w:afterAutospacing="1"/>
        <w:jc w:val="both"/>
        <w:rPr>
          <w:rFonts w:ascii="Arial" w:hAnsi="Arial" w:cs="Arial"/>
          <w:sz w:val="22"/>
          <w:szCs w:val="22"/>
        </w:rPr>
      </w:pPr>
      <w:r w:rsidRPr="00652152">
        <w:rPr>
          <w:rFonts w:ascii="Arial" w:hAnsi="Arial" w:cs="Arial"/>
          <w:b/>
          <w:bCs/>
          <w:sz w:val="22"/>
          <w:szCs w:val="22"/>
          <w:lang w:val="en-US"/>
        </w:rPr>
        <w:t>REPLY</w:t>
      </w:r>
    </w:p>
    <w:p w:rsidR="00B06BAA" w:rsidRPr="00652152" w:rsidRDefault="00FA27FB" w:rsidP="00B06BAA">
      <w:pPr>
        <w:numPr>
          <w:ilvl w:val="0"/>
          <w:numId w:val="21"/>
        </w:numPr>
        <w:tabs>
          <w:tab w:val="left" w:pos="567"/>
          <w:tab w:val="left" w:pos="1134"/>
        </w:tabs>
        <w:ind w:left="567" w:hanging="567"/>
        <w:jc w:val="both"/>
        <w:rPr>
          <w:rFonts w:ascii="Arial" w:eastAsia="Calibri" w:hAnsi="Arial" w:cs="Arial"/>
          <w:sz w:val="22"/>
          <w:szCs w:val="22"/>
        </w:rPr>
      </w:pPr>
      <w:bookmarkStart w:id="1" w:name="_Hlk71548594"/>
      <w:r w:rsidRPr="00652152">
        <w:rPr>
          <w:rFonts w:ascii="Arial" w:eastAsia="Calibri" w:hAnsi="Arial" w:cs="Arial"/>
          <w:sz w:val="22"/>
          <w:szCs w:val="22"/>
        </w:rPr>
        <w:t>(a)</w:t>
      </w:r>
      <w:r w:rsidR="00B06BAA" w:rsidRPr="00652152">
        <w:rPr>
          <w:rFonts w:ascii="Arial" w:eastAsia="Calibri" w:hAnsi="Arial" w:cs="Arial"/>
          <w:sz w:val="22"/>
          <w:szCs w:val="22"/>
        </w:rPr>
        <w:tab/>
      </w:r>
      <w:r w:rsidRPr="00652152">
        <w:rPr>
          <w:rFonts w:ascii="Arial" w:eastAsia="Calibri" w:hAnsi="Arial" w:cs="Arial"/>
          <w:sz w:val="22"/>
          <w:szCs w:val="22"/>
        </w:rPr>
        <w:t>(</w:t>
      </w:r>
      <w:r w:rsidR="005229D6" w:rsidRPr="00652152">
        <w:rPr>
          <w:rFonts w:ascii="Arial" w:eastAsia="Calibri" w:hAnsi="Arial" w:cs="Arial"/>
          <w:sz w:val="22"/>
          <w:szCs w:val="22"/>
        </w:rPr>
        <w:t>i</w:t>
      </w:r>
      <w:r w:rsidR="00CD4A26" w:rsidRPr="00652152">
        <w:rPr>
          <w:rFonts w:ascii="Arial" w:eastAsia="Calibri" w:hAnsi="Arial" w:cs="Arial"/>
          <w:sz w:val="22"/>
          <w:szCs w:val="22"/>
        </w:rPr>
        <w:t xml:space="preserve"> &amp; ii</w:t>
      </w:r>
      <w:r w:rsidRPr="00652152">
        <w:rPr>
          <w:rFonts w:ascii="Arial" w:eastAsia="Calibri" w:hAnsi="Arial" w:cs="Arial"/>
          <w:sz w:val="22"/>
          <w:szCs w:val="22"/>
        </w:rPr>
        <w:t xml:space="preserve">) </w:t>
      </w:r>
      <w:r w:rsidR="00CD4A26" w:rsidRPr="00652152">
        <w:rPr>
          <w:rFonts w:ascii="Arial" w:eastAsia="Calibri" w:hAnsi="Arial" w:cs="Arial"/>
          <w:sz w:val="22"/>
          <w:szCs w:val="22"/>
        </w:rPr>
        <w:t>A</w:t>
      </w:r>
      <w:r w:rsidRPr="00652152">
        <w:rPr>
          <w:rFonts w:ascii="Arial" w:eastAsia="Calibri" w:hAnsi="Arial" w:cs="Arial"/>
          <w:sz w:val="22"/>
          <w:szCs w:val="22"/>
        </w:rPr>
        <w:t xml:space="preserve"> </w:t>
      </w:r>
      <w:bookmarkStart w:id="2" w:name="_Hlk80633879"/>
      <w:r w:rsidRPr="00652152">
        <w:rPr>
          <w:rFonts w:ascii="Arial" w:eastAsia="Calibri" w:hAnsi="Arial" w:cs="Arial"/>
          <w:sz w:val="22"/>
          <w:szCs w:val="22"/>
        </w:rPr>
        <w:t xml:space="preserve">schedule for grass cutting </w:t>
      </w:r>
      <w:r w:rsidR="00CD4A26" w:rsidRPr="00652152">
        <w:rPr>
          <w:rFonts w:ascii="Arial" w:eastAsia="Calibri" w:hAnsi="Arial" w:cs="Arial"/>
          <w:sz w:val="22"/>
          <w:szCs w:val="22"/>
        </w:rPr>
        <w:t xml:space="preserve">and cleaning </w:t>
      </w:r>
      <w:r w:rsidRPr="00652152">
        <w:rPr>
          <w:rFonts w:ascii="Arial" w:eastAsia="Calibri" w:hAnsi="Arial" w:cs="Arial"/>
          <w:sz w:val="22"/>
          <w:szCs w:val="22"/>
        </w:rPr>
        <w:t xml:space="preserve">at Station and Workplace </w:t>
      </w:r>
    </w:p>
    <w:p w:rsidR="00CD4A26" w:rsidRPr="00652152" w:rsidRDefault="00FA27FB" w:rsidP="00B06BAA">
      <w:pPr>
        <w:tabs>
          <w:tab w:val="left" w:pos="567"/>
          <w:tab w:val="left" w:pos="1134"/>
        </w:tabs>
        <w:ind w:left="1134"/>
        <w:jc w:val="both"/>
        <w:rPr>
          <w:rFonts w:ascii="Arial" w:eastAsia="Calibri" w:hAnsi="Arial" w:cs="Arial"/>
          <w:sz w:val="22"/>
          <w:szCs w:val="22"/>
        </w:rPr>
      </w:pPr>
      <w:proofErr w:type="gramStart"/>
      <w:r w:rsidRPr="00652152">
        <w:rPr>
          <w:rFonts w:ascii="Arial" w:eastAsia="Calibri" w:hAnsi="Arial" w:cs="Arial"/>
          <w:sz w:val="22"/>
          <w:szCs w:val="22"/>
        </w:rPr>
        <w:t>facilities</w:t>
      </w:r>
      <w:proofErr w:type="gramEnd"/>
      <w:r w:rsidRPr="00652152">
        <w:rPr>
          <w:rFonts w:ascii="Arial" w:eastAsia="Calibri" w:hAnsi="Arial" w:cs="Arial"/>
          <w:sz w:val="22"/>
          <w:szCs w:val="22"/>
        </w:rPr>
        <w:t xml:space="preserve"> </w:t>
      </w:r>
      <w:bookmarkEnd w:id="2"/>
      <w:r w:rsidRPr="00652152">
        <w:rPr>
          <w:rFonts w:ascii="Arial" w:eastAsia="Calibri" w:hAnsi="Arial" w:cs="Arial"/>
          <w:sz w:val="22"/>
          <w:szCs w:val="22"/>
        </w:rPr>
        <w:t xml:space="preserve">is on a periodic basis </w:t>
      </w:r>
      <w:r w:rsidR="00CD4A26" w:rsidRPr="00652152">
        <w:rPr>
          <w:rFonts w:ascii="Arial" w:eastAsia="Calibri" w:hAnsi="Arial" w:cs="Arial"/>
          <w:sz w:val="22"/>
          <w:szCs w:val="22"/>
        </w:rPr>
        <w:t xml:space="preserve">as reflected in table 1 below. The </w:t>
      </w:r>
      <w:r w:rsidR="00EA18B3" w:rsidRPr="00652152">
        <w:rPr>
          <w:rFonts w:ascii="Arial" w:eastAsia="Calibri" w:hAnsi="Arial" w:cs="Arial"/>
          <w:sz w:val="22"/>
          <w:szCs w:val="22"/>
        </w:rPr>
        <w:t xml:space="preserve">grass cutting </w:t>
      </w:r>
      <w:r w:rsidR="00CD4A26" w:rsidRPr="00652152">
        <w:rPr>
          <w:rFonts w:ascii="Arial" w:eastAsia="Calibri" w:hAnsi="Arial" w:cs="Arial"/>
          <w:sz w:val="22"/>
          <w:szCs w:val="22"/>
        </w:rPr>
        <w:t xml:space="preserve">service is </w:t>
      </w:r>
      <w:r w:rsidR="00982F73" w:rsidRPr="00652152">
        <w:rPr>
          <w:rFonts w:ascii="Arial" w:eastAsia="Calibri" w:hAnsi="Arial" w:cs="Arial"/>
          <w:sz w:val="22"/>
          <w:szCs w:val="22"/>
        </w:rPr>
        <w:t xml:space="preserve">included as one of those performed by the contractors as PRASA does not appoint a contractor for one specific service but covers a range of services included in the table below. </w:t>
      </w:r>
    </w:p>
    <w:p w:rsidR="00B10B47" w:rsidRPr="00652152" w:rsidRDefault="00B10B47" w:rsidP="00CD4A26">
      <w:pPr>
        <w:ind w:left="720"/>
        <w:jc w:val="both"/>
        <w:rPr>
          <w:rFonts w:ascii="Arial" w:eastAsia="Calibri" w:hAnsi="Arial" w:cs="Arial"/>
          <w:sz w:val="22"/>
          <w:szCs w:val="22"/>
        </w:rPr>
      </w:pPr>
    </w:p>
    <w:tbl>
      <w:tblPr>
        <w:tblpPr w:leftFromText="180" w:rightFromText="180" w:vertAnchor="text" w:horzAnchor="margin" w:tblpXSpec="right" w:tblpY="-7"/>
        <w:tblW w:w="7765" w:type="dxa"/>
        <w:tblCellMar>
          <w:top w:w="13" w:type="dxa"/>
          <w:left w:w="0" w:type="dxa"/>
          <w:right w:w="0" w:type="dxa"/>
        </w:tblCellMar>
        <w:tblLook w:val="04A0"/>
      </w:tblPr>
      <w:tblGrid>
        <w:gridCol w:w="1139"/>
        <w:gridCol w:w="2268"/>
        <w:gridCol w:w="2694"/>
        <w:gridCol w:w="1664"/>
      </w:tblGrid>
      <w:tr w:rsidR="00B10B47" w:rsidRPr="00652152" w:rsidTr="00EA18B3">
        <w:trPr>
          <w:trHeight w:val="490"/>
          <w:tblHeader/>
        </w:trPr>
        <w:tc>
          <w:tcPr>
            <w:tcW w:w="3407" w:type="dxa"/>
            <w:gridSpan w:val="2"/>
            <w:tcBorders>
              <w:top w:val="single" w:sz="4" w:space="0" w:color="000000"/>
              <w:left w:val="single" w:sz="4" w:space="0" w:color="000000"/>
              <w:bottom w:val="single" w:sz="4" w:space="0" w:color="000000"/>
              <w:right w:val="single" w:sz="4" w:space="0" w:color="000000"/>
            </w:tcBorders>
            <w:shd w:val="clear" w:color="auto" w:fill="D9D9D9"/>
          </w:tcPr>
          <w:p w:rsidR="00B10B47" w:rsidRPr="00652152" w:rsidRDefault="00B10B47" w:rsidP="00B10B47">
            <w:pPr>
              <w:spacing w:line="259" w:lineRule="auto"/>
              <w:ind w:left="5"/>
              <w:rPr>
                <w:rFonts w:ascii="Arial" w:eastAsia="Arial" w:hAnsi="Arial" w:cs="Arial"/>
                <w:b/>
                <w:bCs/>
                <w:color w:val="262626"/>
                <w:sz w:val="22"/>
                <w:szCs w:val="22"/>
                <w:vertAlign w:val="superscript"/>
                <w:lang w:val="en-US"/>
              </w:rPr>
            </w:pPr>
            <w:r w:rsidRPr="00652152">
              <w:rPr>
                <w:rFonts w:ascii="Arial" w:eastAsia="Arial" w:hAnsi="Arial" w:cs="Arial"/>
                <w:b/>
                <w:bCs/>
                <w:color w:val="262626"/>
                <w:sz w:val="22"/>
                <w:szCs w:val="22"/>
                <w:vertAlign w:val="superscript"/>
                <w:lang w:val="en-US"/>
              </w:rPr>
              <w:t xml:space="preserve">AREA </w:t>
            </w:r>
          </w:p>
          <w:p w:rsidR="00B10B47" w:rsidRPr="00652152" w:rsidRDefault="00B10B47" w:rsidP="00B10B47">
            <w:pPr>
              <w:spacing w:after="28" w:line="259" w:lineRule="auto"/>
              <w:ind w:left="110"/>
              <w:rPr>
                <w:rFonts w:ascii="Arial" w:eastAsia="Arial" w:hAnsi="Arial" w:cs="Arial"/>
                <w:b/>
                <w:bCs/>
                <w:color w:val="262626"/>
                <w:sz w:val="22"/>
                <w:szCs w:val="22"/>
                <w:vertAlign w:val="superscript"/>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B10B47" w:rsidRPr="00652152" w:rsidRDefault="00B10B47" w:rsidP="00B10B47">
            <w:pPr>
              <w:spacing w:line="259" w:lineRule="auto"/>
              <w:ind w:left="110"/>
              <w:rPr>
                <w:rFonts w:ascii="Arial" w:eastAsia="Arial" w:hAnsi="Arial" w:cs="Arial"/>
                <w:b/>
                <w:bCs/>
                <w:color w:val="262626"/>
                <w:sz w:val="22"/>
                <w:szCs w:val="22"/>
                <w:vertAlign w:val="superscript"/>
                <w:lang w:val="en-US"/>
              </w:rPr>
            </w:pPr>
            <w:r w:rsidRPr="00652152">
              <w:rPr>
                <w:rFonts w:ascii="Arial" w:eastAsia="Arial" w:hAnsi="Arial" w:cs="Arial"/>
                <w:b/>
                <w:bCs/>
                <w:color w:val="262626"/>
                <w:sz w:val="22"/>
                <w:szCs w:val="22"/>
                <w:vertAlign w:val="superscript"/>
                <w:lang w:val="en-US"/>
              </w:rPr>
              <w:t xml:space="preserve">TASK SPECIFICATION </w:t>
            </w:r>
          </w:p>
        </w:tc>
        <w:tc>
          <w:tcPr>
            <w:tcW w:w="1664" w:type="dxa"/>
            <w:tcBorders>
              <w:top w:val="single" w:sz="4" w:space="0" w:color="000000"/>
              <w:left w:val="single" w:sz="4" w:space="0" w:color="000000"/>
              <w:bottom w:val="single" w:sz="4" w:space="0" w:color="000000"/>
              <w:right w:val="single" w:sz="4" w:space="0" w:color="000000"/>
            </w:tcBorders>
            <w:shd w:val="clear" w:color="auto" w:fill="D9D9D9"/>
          </w:tcPr>
          <w:p w:rsidR="00B10B47" w:rsidRPr="00652152" w:rsidRDefault="00B10B47" w:rsidP="00B10B47">
            <w:pPr>
              <w:spacing w:line="259" w:lineRule="auto"/>
              <w:ind w:left="108"/>
              <w:jc w:val="both"/>
              <w:rPr>
                <w:rFonts w:ascii="Arial" w:eastAsia="Arial" w:hAnsi="Arial" w:cs="Arial"/>
                <w:b/>
                <w:bCs/>
                <w:color w:val="262626"/>
                <w:sz w:val="22"/>
                <w:szCs w:val="22"/>
                <w:vertAlign w:val="superscript"/>
                <w:lang w:val="en-US"/>
              </w:rPr>
            </w:pPr>
            <w:r w:rsidRPr="00652152">
              <w:rPr>
                <w:rFonts w:ascii="Arial" w:eastAsia="Arial" w:hAnsi="Arial" w:cs="Arial"/>
                <w:b/>
                <w:bCs/>
                <w:color w:val="262626"/>
                <w:sz w:val="22"/>
                <w:szCs w:val="22"/>
                <w:vertAlign w:val="superscript"/>
                <w:lang w:val="en-US"/>
              </w:rPr>
              <w:t xml:space="preserve">FREQUENCY </w:t>
            </w:r>
          </w:p>
        </w:tc>
      </w:tr>
      <w:tr w:rsidR="00B10B47" w:rsidRPr="00652152" w:rsidTr="00EA18B3">
        <w:trPr>
          <w:trHeight w:val="256"/>
        </w:trPr>
        <w:tc>
          <w:tcPr>
            <w:tcW w:w="1139" w:type="dxa"/>
            <w:vMerge w:val="restart"/>
            <w:tcBorders>
              <w:top w:val="nil"/>
              <w:left w:val="single" w:sz="4" w:space="0" w:color="000000"/>
              <w:bottom w:val="nil"/>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Waste Collection and Disposal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Empty and clean all waste baskets, receptacles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Continuously  </w:t>
            </w:r>
          </w:p>
        </w:tc>
      </w:tr>
      <w:tr w:rsidR="00B10B47" w:rsidRPr="00652152" w:rsidTr="00EA18B3">
        <w:trPr>
          <w:trHeight w:val="452"/>
        </w:trPr>
        <w:tc>
          <w:tcPr>
            <w:tcW w:w="1139" w:type="dxa"/>
            <w:vMerge/>
            <w:tcBorders>
              <w:top w:val="nil"/>
              <w:left w:val="single" w:sz="4" w:space="0" w:color="000000"/>
              <w:bottom w:val="single" w:sz="4" w:space="0" w:color="000000"/>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268" w:type="dxa"/>
            <w:vMerge/>
            <w:tcBorders>
              <w:top w:val="nil"/>
              <w:left w:val="single" w:sz="4" w:space="0" w:color="000000"/>
              <w:bottom w:val="single" w:sz="4" w:space="0" w:color="000000"/>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Remove all waste to a specified and designated area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Continuously  </w:t>
            </w:r>
          </w:p>
        </w:tc>
      </w:tr>
      <w:tr w:rsidR="00B10B47" w:rsidRPr="00652152" w:rsidTr="00EA18B3">
        <w:trPr>
          <w:trHeight w:val="256"/>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tabs>
                <w:tab w:val="right" w:pos="1560"/>
              </w:tabs>
              <w:spacing w:line="259" w:lineRule="auto"/>
              <w:rPr>
                <w:rFonts w:ascii="Arial" w:eastAsia="Arial" w:hAnsi="Arial" w:cs="Arial"/>
                <w:color w:val="262626"/>
                <w:sz w:val="22"/>
                <w:szCs w:val="22"/>
                <w:vertAlign w:val="superscript"/>
                <w:lang w:val="en-US"/>
              </w:rPr>
            </w:pPr>
            <w:r w:rsidRPr="00652152">
              <w:rPr>
                <w:rFonts w:ascii="Arial" w:eastAsia="Calibri" w:hAnsi="Arial" w:cs="Arial"/>
                <w:i/>
                <w:iCs/>
                <w:color w:val="000000"/>
                <w:sz w:val="22"/>
                <w:szCs w:val="22"/>
                <w:vertAlign w:val="superscript"/>
                <w:lang w:val="en-US"/>
              </w:rPr>
              <w:t xml:space="preserve"> </w:t>
            </w:r>
            <w:r w:rsidR="006D2827" w:rsidRPr="00652152">
              <w:rPr>
                <w:rFonts w:ascii="Arial" w:eastAsia="Arial" w:hAnsi="Arial" w:cs="Arial"/>
                <w:b/>
                <w:color w:val="262626"/>
                <w:sz w:val="22"/>
                <w:szCs w:val="22"/>
                <w:vertAlign w:val="superscript"/>
                <w:lang w:val="en-US"/>
              </w:rPr>
              <w:t xml:space="preserve">Platforms </w:t>
            </w:r>
            <w:r w:rsidR="006D2827" w:rsidRPr="00652152">
              <w:rPr>
                <w:rFonts w:ascii="Arial" w:eastAsia="Arial" w:hAnsi="Arial" w:cs="Arial"/>
                <w:b/>
                <w:color w:val="262626"/>
                <w:sz w:val="22"/>
                <w:szCs w:val="22"/>
                <w:vertAlign w:val="superscript"/>
                <w:lang w:val="en-US"/>
              </w:rPr>
              <w:tab/>
            </w:r>
            <w:r w:rsidRPr="00652152">
              <w:rPr>
                <w:rFonts w:ascii="Arial" w:eastAsia="Arial" w:hAnsi="Arial" w:cs="Arial"/>
                <w:b/>
                <w:color w:val="262626"/>
                <w:sz w:val="22"/>
                <w:szCs w:val="22"/>
                <w:vertAlign w:val="superscript"/>
                <w:lang w:val="en-US"/>
              </w:rPr>
              <w:t xml:space="preserve">&amp; </w:t>
            </w:r>
            <w:r w:rsidRPr="00652152">
              <w:rPr>
                <w:rFonts w:ascii="Arial" w:eastAsia="Arial" w:hAnsi="Arial" w:cs="Arial"/>
                <w:color w:val="262626"/>
                <w:sz w:val="22"/>
                <w:szCs w:val="22"/>
                <w:vertAlign w:val="superscript"/>
                <w:lang w:val="en-US"/>
              </w:rPr>
              <w:t xml:space="preserve"> </w:t>
            </w:r>
          </w:p>
          <w:p w:rsidR="00B10B47" w:rsidRPr="00652152" w:rsidRDefault="00B10B47" w:rsidP="006D2827">
            <w:pPr>
              <w:spacing w:after="50" w:line="259" w:lineRule="auto"/>
              <w:rPr>
                <w:rFonts w:ascii="Arial" w:eastAsia="Arial" w:hAnsi="Arial" w:cs="Arial"/>
                <w:color w:val="262626"/>
                <w:sz w:val="22"/>
                <w:szCs w:val="22"/>
                <w:vertAlign w:val="superscript"/>
                <w:lang w:val="en-US"/>
              </w:rPr>
            </w:pPr>
            <w:r w:rsidRPr="00652152">
              <w:rPr>
                <w:rFonts w:ascii="Arial" w:eastAsia="Arial" w:hAnsi="Arial" w:cs="Arial"/>
                <w:b/>
                <w:color w:val="262626"/>
                <w:sz w:val="22"/>
                <w:szCs w:val="22"/>
                <w:vertAlign w:val="superscript"/>
                <w:lang w:val="en-US"/>
              </w:rPr>
              <w:t xml:space="preserve">Railway tracks </w:t>
            </w:r>
          </w:p>
          <w:p w:rsidR="00B10B47" w:rsidRPr="00652152" w:rsidRDefault="00B10B47" w:rsidP="00B10B47">
            <w:pPr>
              <w:spacing w:after="28" w:line="259" w:lineRule="auto"/>
              <w:ind w:left="110"/>
              <w:rPr>
                <w:rFonts w:ascii="Arial" w:eastAsia="Arial" w:hAnsi="Arial" w:cs="Arial"/>
                <w:i/>
                <w:iCs/>
                <w:color w:val="262626"/>
                <w:sz w:val="22"/>
                <w:szCs w:val="22"/>
                <w:vertAlign w:val="superscript"/>
                <w:lang w:val="en-US"/>
              </w:rPr>
            </w:pPr>
            <w:r w:rsidRPr="00652152">
              <w:rPr>
                <w:rFonts w:ascii="Arial" w:eastAsia="Arial" w:hAnsi="Arial" w:cs="Arial"/>
                <w:b/>
                <w:i/>
                <w:iCs/>
                <w:color w:val="262626"/>
                <w:sz w:val="22"/>
                <w:szCs w:val="22"/>
                <w:vertAlign w:val="superscript"/>
                <w:lang w:val="en-US"/>
              </w:rPr>
              <w:t xml:space="preserve"> </w:t>
            </w:r>
            <w:r w:rsidRPr="00652152">
              <w:rPr>
                <w:rFonts w:ascii="Arial" w:eastAsia="Arial" w:hAnsi="Arial" w:cs="Arial"/>
                <w:i/>
                <w:iCs/>
                <w:color w:val="262626"/>
                <w:sz w:val="22"/>
                <w:szCs w:val="22"/>
                <w:vertAlign w:val="superscript"/>
                <w:lang w:val="en-US"/>
              </w:rPr>
              <w:t xml:space="preserve"> </w:t>
            </w:r>
          </w:p>
          <w:p w:rsidR="00B10B47" w:rsidRPr="00652152" w:rsidRDefault="00B10B47" w:rsidP="00B10B47">
            <w:pPr>
              <w:spacing w:after="28" w:line="259" w:lineRule="auto"/>
              <w:ind w:left="110"/>
              <w:rPr>
                <w:rFonts w:ascii="Arial" w:eastAsia="Arial" w:hAnsi="Arial" w:cs="Arial"/>
                <w:i/>
                <w:iCs/>
                <w:color w:val="262626"/>
                <w:sz w:val="22"/>
                <w:szCs w:val="22"/>
                <w:vertAlign w:val="superscript"/>
                <w:lang w:val="en-US"/>
              </w:rPr>
            </w:pPr>
            <w:r w:rsidRPr="00652152">
              <w:rPr>
                <w:rFonts w:ascii="Arial" w:eastAsia="Arial" w:hAnsi="Arial" w:cs="Arial"/>
                <w:b/>
                <w:i/>
                <w:iCs/>
                <w:color w:val="262626"/>
                <w:sz w:val="22"/>
                <w:szCs w:val="22"/>
                <w:vertAlign w:val="superscript"/>
                <w:lang w:val="en-US"/>
              </w:rPr>
              <w:t xml:space="preserve"> </w:t>
            </w:r>
            <w:r w:rsidRPr="00652152">
              <w:rPr>
                <w:rFonts w:ascii="Arial" w:eastAsia="Arial" w:hAnsi="Arial" w:cs="Arial"/>
                <w:i/>
                <w:iCs/>
                <w:color w:val="262626"/>
                <w:sz w:val="22"/>
                <w:szCs w:val="22"/>
                <w:vertAlign w:val="superscript"/>
                <w:lang w:val="en-US"/>
              </w:rPr>
              <w:t xml:space="preserve"> </w:t>
            </w:r>
          </w:p>
          <w:p w:rsidR="00B10B47" w:rsidRPr="00652152" w:rsidRDefault="00B10B47" w:rsidP="00B10B47">
            <w:pPr>
              <w:spacing w:after="25" w:line="259" w:lineRule="auto"/>
              <w:ind w:left="110"/>
              <w:rPr>
                <w:rFonts w:ascii="Arial" w:eastAsia="Arial" w:hAnsi="Arial" w:cs="Arial"/>
                <w:i/>
                <w:iCs/>
                <w:color w:val="262626"/>
                <w:sz w:val="22"/>
                <w:szCs w:val="22"/>
                <w:vertAlign w:val="superscript"/>
                <w:lang w:val="en-US"/>
              </w:rPr>
            </w:pPr>
            <w:r w:rsidRPr="00652152">
              <w:rPr>
                <w:rFonts w:ascii="Arial" w:eastAsia="Arial" w:hAnsi="Arial" w:cs="Arial"/>
                <w:b/>
                <w:i/>
                <w:iCs/>
                <w:color w:val="262626"/>
                <w:sz w:val="22"/>
                <w:szCs w:val="22"/>
                <w:vertAlign w:val="superscript"/>
                <w:lang w:val="en-US"/>
              </w:rPr>
              <w:t xml:space="preserve"> </w:t>
            </w:r>
            <w:r w:rsidRPr="00652152">
              <w:rPr>
                <w:rFonts w:ascii="Arial" w:eastAsia="Arial" w:hAnsi="Arial" w:cs="Arial"/>
                <w:i/>
                <w:iCs/>
                <w:color w:val="262626"/>
                <w:sz w:val="22"/>
                <w:szCs w:val="22"/>
                <w:vertAlign w:val="superscript"/>
                <w:lang w:val="en-US"/>
              </w:rPr>
              <w:t xml:space="preserve"> </w:t>
            </w:r>
          </w:p>
          <w:p w:rsidR="00B10B47" w:rsidRPr="00652152" w:rsidRDefault="00B10B47" w:rsidP="00B10B47">
            <w:pPr>
              <w:spacing w:after="28" w:line="259" w:lineRule="auto"/>
              <w:ind w:left="110"/>
              <w:rPr>
                <w:rFonts w:ascii="Arial" w:eastAsia="Arial" w:hAnsi="Arial" w:cs="Arial"/>
                <w:i/>
                <w:iCs/>
                <w:color w:val="262626"/>
                <w:sz w:val="22"/>
                <w:szCs w:val="22"/>
                <w:vertAlign w:val="superscript"/>
                <w:lang w:val="en-US"/>
              </w:rPr>
            </w:pPr>
            <w:r w:rsidRPr="00652152">
              <w:rPr>
                <w:rFonts w:ascii="Arial" w:eastAsia="Arial" w:hAnsi="Arial" w:cs="Arial"/>
                <w:b/>
                <w:i/>
                <w:iCs/>
                <w:color w:val="262626"/>
                <w:sz w:val="22"/>
                <w:szCs w:val="22"/>
                <w:vertAlign w:val="superscript"/>
                <w:lang w:val="en-US"/>
              </w:rPr>
              <w:t xml:space="preserve"> </w:t>
            </w:r>
            <w:r w:rsidRPr="00652152">
              <w:rPr>
                <w:rFonts w:ascii="Arial" w:eastAsia="Arial" w:hAnsi="Arial" w:cs="Arial"/>
                <w:i/>
                <w:iCs/>
                <w:color w:val="262626"/>
                <w:sz w:val="22"/>
                <w:szCs w:val="22"/>
                <w:vertAlign w:val="superscript"/>
                <w:lang w:val="en-US"/>
              </w:rPr>
              <w:t xml:space="preserve"> </w:t>
            </w:r>
          </w:p>
          <w:p w:rsidR="00B10B47" w:rsidRPr="00652152" w:rsidRDefault="00B10B47" w:rsidP="00B10B47">
            <w:pPr>
              <w:spacing w:line="259" w:lineRule="auto"/>
              <w:ind w:left="110"/>
              <w:rPr>
                <w:rFonts w:ascii="Arial" w:eastAsia="Arial" w:hAnsi="Arial" w:cs="Arial"/>
                <w:i/>
                <w:iCs/>
                <w:color w:val="262626"/>
                <w:sz w:val="22"/>
                <w:szCs w:val="22"/>
                <w:vertAlign w:val="superscript"/>
                <w:lang w:val="en-US"/>
              </w:rPr>
            </w:pPr>
            <w:r w:rsidRPr="00652152">
              <w:rPr>
                <w:rFonts w:ascii="Arial" w:eastAsia="Arial" w:hAnsi="Arial" w:cs="Arial"/>
                <w:b/>
                <w:i/>
                <w:iCs/>
                <w:color w:val="262626"/>
                <w:sz w:val="22"/>
                <w:szCs w:val="22"/>
                <w:vertAlign w:val="superscript"/>
                <w:lang w:val="en-US"/>
              </w:rPr>
              <w:t xml:space="preserve"> </w:t>
            </w:r>
            <w:r w:rsidRPr="00652152">
              <w:rPr>
                <w:rFonts w:ascii="Arial" w:eastAsia="Arial" w:hAnsi="Arial" w:cs="Arial"/>
                <w:i/>
                <w:iCs/>
                <w:color w:val="262626"/>
                <w:sz w:val="22"/>
                <w:szCs w:val="22"/>
                <w:vertAlign w:val="superscript"/>
                <w:lang w:val="en-US"/>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after="2"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Platform areas  </w:t>
            </w:r>
          </w:p>
          <w:p w:rsidR="00B10B47" w:rsidRPr="00652152" w:rsidRDefault="00B10B47" w:rsidP="00B10B47">
            <w:pPr>
              <w:spacing w:line="259" w:lineRule="auto"/>
              <w:ind w:left="-5"/>
              <w:rPr>
                <w:rFonts w:ascii="Arial" w:eastAsia="Arial" w:hAnsi="Arial" w:cs="Arial"/>
                <w:i/>
                <w:iCs/>
                <w:color w:val="262626"/>
                <w:sz w:val="22"/>
                <w:szCs w:val="22"/>
                <w:vertAlign w:val="superscript"/>
                <w:lang w:val="en-US"/>
              </w:rPr>
            </w:pPr>
            <w:r w:rsidRPr="00652152">
              <w:rPr>
                <w:rFonts w:ascii="Arial" w:eastAsia="Arial" w:hAnsi="Arial" w:cs="Arial"/>
                <w:i/>
                <w:iCs/>
                <w:color w:val="262626"/>
                <w:sz w:val="22"/>
                <w:szCs w:val="22"/>
                <w:vertAlign w:val="superscript"/>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Sweep platforms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daily  </w:t>
            </w:r>
          </w:p>
        </w:tc>
      </w:tr>
      <w:tr w:rsidR="00B10B47" w:rsidRPr="00652152" w:rsidTr="00EA18B3">
        <w:trPr>
          <w:trHeight w:val="258"/>
        </w:trPr>
        <w:tc>
          <w:tcPr>
            <w:tcW w:w="1139" w:type="dxa"/>
            <w:vMerge/>
            <w:tcBorders>
              <w:top w:val="nil"/>
              <w:left w:val="single" w:sz="4" w:space="0" w:color="000000"/>
              <w:bottom w:val="nil"/>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268" w:type="dxa"/>
            <w:vMerge/>
            <w:tcBorders>
              <w:top w:val="nil"/>
              <w:left w:val="single" w:sz="4" w:space="0" w:color="000000"/>
              <w:bottom w:val="single" w:sz="4" w:space="0" w:color="000000"/>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Remove papers and other foreign objects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Continuously  </w:t>
            </w:r>
          </w:p>
        </w:tc>
      </w:tr>
      <w:tr w:rsidR="00B10B47" w:rsidRPr="00652152" w:rsidTr="00EA18B3">
        <w:trPr>
          <w:trHeight w:val="256"/>
        </w:trPr>
        <w:tc>
          <w:tcPr>
            <w:tcW w:w="1139" w:type="dxa"/>
            <w:vMerge/>
            <w:tcBorders>
              <w:top w:val="nil"/>
              <w:left w:val="single" w:sz="4" w:space="0" w:color="000000"/>
              <w:bottom w:val="nil"/>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10"/>
              <w:rPr>
                <w:rFonts w:ascii="Arial" w:eastAsia="Arial" w:hAnsi="Arial" w:cs="Arial"/>
                <w:i/>
                <w:iCs/>
                <w:color w:val="262626"/>
                <w:sz w:val="22"/>
                <w:szCs w:val="22"/>
                <w:vertAlign w:val="superscript"/>
                <w:lang w:val="en-US"/>
              </w:rPr>
            </w:pPr>
            <w:r w:rsidRPr="00652152">
              <w:rPr>
                <w:rFonts w:ascii="Arial" w:eastAsia="Arial" w:hAnsi="Arial" w:cs="Arial"/>
                <w:i/>
                <w:iCs/>
                <w:color w:val="262626"/>
                <w:sz w:val="22"/>
                <w:szCs w:val="22"/>
                <w:vertAlign w:val="superscript"/>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Sweep the railway tracks.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Every three months  </w:t>
            </w:r>
          </w:p>
        </w:tc>
      </w:tr>
      <w:tr w:rsidR="00B10B47" w:rsidRPr="00652152" w:rsidTr="00EA18B3">
        <w:trPr>
          <w:trHeight w:val="1418"/>
        </w:trPr>
        <w:tc>
          <w:tcPr>
            <w:tcW w:w="1139" w:type="dxa"/>
            <w:vMerge/>
            <w:tcBorders>
              <w:top w:val="nil"/>
              <w:left w:val="single" w:sz="4" w:space="0" w:color="000000"/>
              <w:bottom w:val="nil"/>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ind w:right="105"/>
              <w:jc w:val="both"/>
              <w:rPr>
                <w:rFonts w:ascii="Arial" w:eastAsia="Arial" w:hAnsi="Arial" w:cs="Arial"/>
                <w:i/>
                <w:iCs/>
                <w:color w:val="262626"/>
                <w:sz w:val="22"/>
                <w:szCs w:val="22"/>
                <w:vertAlign w:val="superscript"/>
                <w:lang w:val="en-US"/>
              </w:rPr>
            </w:pPr>
            <w:r w:rsidRPr="00652152">
              <w:rPr>
                <w:rFonts w:ascii="Arial" w:eastAsia="Arial" w:hAnsi="Arial" w:cs="Arial"/>
                <w:color w:val="262626"/>
                <w:sz w:val="22"/>
                <w:szCs w:val="22"/>
                <w:vertAlign w:val="superscript"/>
                <w:lang w:val="en-US"/>
              </w:rPr>
              <w:t>Railway tracks.</w:t>
            </w:r>
            <w:r w:rsidRPr="00652152">
              <w:rPr>
                <w:rFonts w:ascii="Arial" w:eastAsia="Arial" w:hAnsi="Arial" w:cs="Arial"/>
                <w:i/>
                <w:iCs/>
                <w:color w:val="262626"/>
                <w:sz w:val="22"/>
                <w:szCs w:val="22"/>
                <w:vertAlign w:val="superscript"/>
                <w:lang w:val="en-US"/>
              </w:rPr>
              <w:t xml:space="preserve">  </w:t>
            </w:r>
            <w:r w:rsidRPr="00652152">
              <w:rPr>
                <w:rFonts w:ascii="Arial" w:eastAsia="Arial" w:hAnsi="Arial" w:cs="Arial"/>
                <w:b/>
                <w:i/>
                <w:iCs/>
                <w:color w:val="262626"/>
                <w:sz w:val="22"/>
                <w:szCs w:val="22"/>
                <w:vertAlign w:val="superscript"/>
                <w:lang w:val="en-US"/>
              </w:rPr>
              <w:t>Note: Commuters work under protection on tracks and only during the off-peak)</w:t>
            </w:r>
            <w:r w:rsidRPr="00652152">
              <w:rPr>
                <w:rFonts w:ascii="Arial" w:eastAsia="Arial" w:hAnsi="Arial" w:cs="Arial"/>
                <w:i/>
                <w:iCs/>
                <w:color w:val="262626"/>
                <w:sz w:val="22"/>
                <w:szCs w:val="22"/>
                <w:vertAlign w:val="superscript"/>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11" w:right="108" w:hanging="118"/>
              <w:jc w:val="both"/>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 Remove papers and other</w:t>
            </w:r>
            <w:r w:rsidR="006D2827" w:rsidRPr="00652152">
              <w:rPr>
                <w:rFonts w:ascii="Arial" w:eastAsia="Arial" w:hAnsi="Arial" w:cs="Arial"/>
                <w:color w:val="262626"/>
                <w:sz w:val="22"/>
                <w:szCs w:val="22"/>
                <w:vertAlign w:val="superscript"/>
                <w:lang w:val="en-US"/>
              </w:rPr>
              <w:t xml:space="preserve"> </w:t>
            </w:r>
            <w:r w:rsidRPr="00652152">
              <w:rPr>
                <w:rFonts w:ascii="Arial" w:eastAsia="Arial" w:hAnsi="Arial" w:cs="Arial"/>
                <w:color w:val="262626"/>
                <w:sz w:val="22"/>
                <w:szCs w:val="22"/>
                <w:vertAlign w:val="superscript"/>
                <w:lang w:val="en-US"/>
              </w:rPr>
              <w:t xml:space="preserve">foreign objects – Clean the railway tracks up to 200m beyond the edges of both sides of the platforms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daily  </w:t>
            </w:r>
          </w:p>
        </w:tc>
      </w:tr>
      <w:tr w:rsidR="00B10B47" w:rsidRPr="00652152" w:rsidTr="00EA18B3">
        <w:trPr>
          <w:trHeight w:val="258"/>
        </w:trPr>
        <w:tc>
          <w:tcPr>
            <w:tcW w:w="1139" w:type="dxa"/>
            <w:vMerge/>
            <w:tcBorders>
              <w:top w:val="nil"/>
              <w:left w:val="single" w:sz="4" w:space="0" w:color="000000"/>
              <w:bottom w:val="single" w:sz="4" w:space="0" w:color="000000"/>
              <w:right w:val="single" w:sz="4" w:space="0" w:color="000000"/>
            </w:tcBorders>
            <w:shd w:val="clear" w:color="auto" w:fill="auto"/>
          </w:tcPr>
          <w:p w:rsidR="00B10B47" w:rsidRPr="00652152" w:rsidRDefault="00B10B47" w:rsidP="00B10B47">
            <w:pPr>
              <w:spacing w:after="160" w:line="259" w:lineRule="auto"/>
              <w:rPr>
                <w:rFonts w:ascii="Arial" w:eastAsia="Arial" w:hAnsi="Arial" w:cs="Arial"/>
                <w:i/>
                <w:iCs/>
                <w:color w:val="262626"/>
                <w:sz w:val="22"/>
                <w:szCs w:val="22"/>
                <w:vertAlign w:val="superscript"/>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Grass and weeds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6D2827">
            <w:pPr>
              <w:spacing w:line="259" w:lineRule="auto"/>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Remove Grass and Weed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0B47" w:rsidRPr="00652152" w:rsidRDefault="00B10B47" w:rsidP="00B10B47">
            <w:pPr>
              <w:spacing w:line="259" w:lineRule="auto"/>
              <w:ind w:left="108"/>
              <w:rPr>
                <w:rFonts w:ascii="Arial" w:eastAsia="Arial" w:hAnsi="Arial" w:cs="Arial"/>
                <w:color w:val="262626"/>
                <w:sz w:val="22"/>
                <w:szCs w:val="22"/>
                <w:vertAlign w:val="superscript"/>
                <w:lang w:val="en-US"/>
              </w:rPr>
            </w:pPr>
            <w:r w:rsidRPr="00652152">
              <w:rPr>
                <w:rFonts w:ascii="Arial" w:eastAsia="Arial" w:hAnsi="Arial" w:cs="Arial"/>
                <w:color w:val="262626"/>
                <w:sz w:val="22"/>
                <w:szCs w:val="22"/>
                <w:vertAlign w:val="superscript"/>
                <w:lang w:val="en-US"/>
              </w:rPr>
              <w:t xml:space="preserve">Weekly  </w:t>
            </w:r>
          </w:p>
        </w:tc>
      </w:tr>
    </w:tbl>
    <w:p w:rsidR="00CD4A26" w:rsidRPr="00652152" w:rsidRDefault="00CD4A26" w:rsidP="00CD4A26">
      <w:pPr>
        <w:ind w:left="720"/>
        <w:jc w:val="both"/>
        <w:rPr>
          <w:rFonts w:ascii="Arial" w:eastAsia="Calibri" w:hAnsi="Arial" w:cs="Arial"/>
          <w:i/>
          <w:iCs/>
          <w:sz w:val="22"/>
          <w:szCs w:val="22"/>
        </w:rPr>
      </w:pPr>
    </w:p>
    <w:p w:rsidR="002F46AC" w:rsidRPr="00652152" w:rsidRDefault="002F46AC" w:rsidP="00713973">
      <w:pPr>
        <w:jc w:val="both"/>
        <w:rPr>
          <w:rFonts w:ascii="Arial" w:eastAsia="Calibri" w:hAnsi="Arial" w:cs="Arial"/>
          <w:i/>
          <w:iCs/>
          <w:sz w:val="22"/>
          <w:szCs w:val="22"/>
        </w:rPr>
      </w:pPr>
    </w:p>
    <w:p w:rsidR="002F46AC" w:rsidRPr="00652152" w:rsidRDefault="002F46AC" w:rsidP="00713973">
      <w:pPr>
        <w:jc w:val="both"/>
        <w:rPr>
          <w:rFonts w:ascii="Arial" w:eastAsia="Calibri" w:hAnsi="Arial" w:cs="Arial"/>
          <w:i/>
          <w:iCs/>
          <w:sz w:val="22"/>
          <w:szCs w:val="22"/>
        </w:rPr>
      </w:pPr>
    </w:p>
    <w:p w:rsidR="002F46AC" w:rsidRPr="00652152" w:rsidRDefault="00C310D1" w:rsidP="00713973">
      <w:pPr>
        <w:jc w:val="both"/>
        <w:rPr>
          <w:rFonts w:ascii="Arial" w:eastAsia="Calibri" w:hAnsi="Arial" w:cs="Arial"/>
          <w:i/>
          <w:iCs/>
          <w:sz w:val="22"/>
          <w:szCs w:val="22"/>
        </w:rPr>
      </w:pPr>
      <w:r w:rsidRPr="00652152">
        <w:rPr>
          <w:rFonts w:ascii="Arial" w:eastAsia="Calibri" w:hAnsi="Arial" w:cs="Arial"/>
          <w:i/>
          <w:iCs/>
          <w:sz w:val="22"/>
          <w:szCs w:val="22"/>
        </w:rPr>
        <w:t>Table</w:t>
      </w:r>
      <w:r w:rsidR="00EA18B3" w:rsidRPr="00652152">
        <w:rPr>
          <w:rFonts w:ascii="Arial" w:eastAsia="Calibri" w:hAnsi="Arial" w:cs="Arial"/>
          <w:i/>
          <w:iCs/>
          <w:sz w:val="22"/>
          <w:szCs w:val="22"/>
        </w:rPr>
        <w:t xml:space="preserve"> </w:t>
      </w:r>
      <w:r w:rsidRPr="00652152">
        <w:rPr>
          <w:rFonts w:ascii="Arial" w:eastAsia="Calibri" w:hAnsi="Arial" w:cs="Arial"/>
          <w:i/>
          <w:iCs/>
          <w:sz w:val="22"/>
          <w:szCs w:val="22"/>
        </w:rPr>
        <w:t>1</w:t>
      </w:r>
      <w:r w:rsidRPr="00652152">
        <w:rPr>
          <w:rFonts w:ascii="Arial" w:hAnsi="Arial" w:cs="Arial"/>
          <w:sz w:val="22"/>
          <w:szCs w:val="22"/>
        </w:rPr>
        <w:t>:</w:t>
      </w:r>
      <w:r w:rsidR="00982F73" w:rsidRPr="00652152">
        <w:rPr>
          <w:rFonts w:ascii="Arial" w:hAnsi="Arial" w:cs="Arial"/>
          <w:sz w:val="22"/>
          <w:szCs w:val="22"/>
        </w:rPr>
        <w:t xml:space="preserve"> </w:t>
      </w:r>
      <w:r w:rsidRPr="00652152">
        <w:rPr>
          <w:rFonts w:ascii="Arial" w:eastAsia="Calibri" w:hAnsi="Arial" w:cs="Arial"/>
          <w:i/>
          <w:iCs/>
          <w:sz w:val="22"/>
          <w:szCs w:val="22"/>
        </w:rPr>
        <w:t>Schedule for grass cutting and cleaning at Station and Workplace facilities</w:t>
      </w:r>
    </w:p>
    <w:p w:rsidR="00B10B47" w:rsidRPr="00652152" w:rsidRDefault="00B10B47"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B10B47" w:rsidRPr="00652152" w:rsidRDefault="00B10B47" w:rsidP="00713973">
      <w:pPr>
        <w:jc w:val="both"/>
        <w:rPr>
          <w:rFonts w:ascii="Arial" w:eastAsia="Calibri" w:hAnsi="Arial" w:cs="Arial"/>
          <w:sz w:val="22"/>
          <w:szCs w:val="22"/>
        </w:rPr>
      </w:pPr>
    </w:p>
    <w:p w:rsidR="00EA18B3" w:rsidRPr="00652152" w:rsidRDefault="00EA18B3" w:rsidP="00713973">
      <w:pPr>
        <w:jc w:val="both"/>
        <w:rPr>
          <w:rFonts w:ascii="Arial" w:eastAsia="Calibri" w:hAnsi="Arial" w:cs="Arial"/>
          <w:sz w:val="22"/>
          <w:szCs w:val="22"/>
        </w:rPr>
      </w:pPr>
    </w:p>
    <w:p w:rsidR="006D2827" w:rsidRPr="00652152" w:rsidRDefault="005229D6" w:rsidP="00B06BAA">
      <w:pPr>
        <w:ind w:left="1134"/>
        <w:jc w:val="both"/>
        <w:rPr>
          <w:rFonts w:ascii="Arial" w:eastAsia="Calibri" w:hAnsi="Arial" w:cs="Arial"/>
          <w:sz w:val="22"/>
          <w:szCs w:val="22"/>
        </w:rPr>
      </w:pPr>
      <w:r w:rsidRPr="00652152">
        <w:rPr>
          <w:rFonts w:ascii="Arial" w:eastAsia="Calibri" w:hAnsi="Arial" w:cs="Arial"/>
          <w:sz w:val="22"/>
          <w:szCs w:val="22"/>
        </w:rPr>
        <w:t xml:space="preserve">(iii) </w:t>
      </w:r>
      <w:r w:rsidR="006D2827" w:rsidRPr="00652152">
        <w:rPr>
          <w:rFonts w:ascii="Arial" w:hAnsi="Arial" w:cs="Arial"/>
          <w:sz w:val="22"/>
          <w:szCs w:val="22"/>
          <w:lang w:val="en-US"/>
        </w:rPr>
        <w:t xml:space="preserve">After the unprecedented levels of vandalism and theft of assets, PRASA’s strategy to maintain fences at station level includes putting in place 3 years fencing maintenance contracts which will attend to all maintenance issues related to fencing. </w:t>
      </w:r>
    </w:p>
    <w:p w:rsidR="006D2827" w:rsidRPr="00652152" w:rsidRDefault="006D2827" w:rsidP="00B06BAA">
      <w:pPr>
        <w:spacing w:before="100" w:beforeAutospacing="1" w:after="100" w:afterAutospacing="1"/>
        <w:ind w:left="1134"/>
        <w:jc w:val="both"/>
        <w:rPr>
          <w:rFonts w:ascii="Arial" w:hAnsi="Arial" w:cs="Arial"/>
          <w:sz w:val="22"/>
          <w:szCs w:val="22"/>
          <w:lang w:val="en-US"/>
        </w:rPr>
      </w:pPr>
      <w:r w:rsidRPr="00652152">
        <w:rPr>
          <w:rFonts w:ascii="Arial" w:hAnsi="Arial" w:cs="Arial"/>
          <w:sz w:val="22"/>
          <w:szCs w:val="22"/>
          <w:lang w:val="en-US"/>
        </w:rPr>
        <w:lastRenderedPageBreak/>
        <w:t>These will support the stations which are due to receive improvements under the National Station Improvement Programme (NSIP) and the Alternative Building Technology (ABT) Projects. Stations earmarked to receive improvements are in the 12 priority corridors</w:t>
      </w:r>
      <w:r w:rsidR="00EA18B3" w:rsidRPr="00652152">
        <w:rPr>
          <w:rFonts w:ascii="Arial" w:hAnsi="Arial" w:cs="Arial"/>
          <w:sz w:val="22"/>
          <w:szCs w:val="22"/>
          <w:lang w:val="en-US"/>
        </w:rPr>
        <w:t xml:space="preserve">. </w:t>
      </w:r>
    </w:p>
    <w:p w:rsidR="006D2827" w:rsidRPr="00652152" w:rsidRDefault="006D2827" w:rsidP="00B06BAA">
      <w:pPr>
        <w:shd w:val="clear" w:color="auto" w:fill="FFFFFF"/>
        <w:spacing w:before="100" w:beforeAutospacing="1" w:after="100" w:afterAutospacing="1"/>
        <w:ind w:left="1134"/>
        <w:jc w:val="both"/>
        <w:rPr>
          <w:rFonts w:ascii="Arial" w:hAnsi="Arial" w:cs="Arial"/>
          <w:sz w:val="22"/>
          <w:szCs w:val="22"/>
          <w:lang w:val="en-US"/>
        </w:rPr>
      </w:pPr>
      <w:r w:rsidRPr="00652152">
        <w:rPr>
          <w:rFonts w:ascii="Arial" w:hAnsi="Arial" w:cs="Arial"/>
          <w:sz w:val="22"/>
          <w:szCs w:val="22"/>
          <w:lang w:val="en-US"/>
        </w:rPr>
        <w:t>The tenders for these programmes have been advertised on various platforms such as eTender. These will then be evaluated and awarded to successful bidders for execution and are due to be completed before end of March 2022.</w:t>
      </w:r>
    </w:p>
    <w:p w:rsidR="009777AB" w:rsidRPr="00652152" w:rsidRDefault="006D2827" w:rsidP="00B06BAA">
      <w:pPr>
        <w:spacing w:before="100" w:beforeAutospacing="1" w:after="100" w:afterAutospacing="1"/>
        <w:ind w:left="1134"/>
        <w:jc w:val="both"/>
        <w:rPr>
          <w:rFonts w:ascii="Arial" w:hAnsi="Arial" w:cs="Arial"/>
          <w:sz w:val="22"/>
          <w:szCs w:val="22"/>
          <w:lang w:val="en-US"/>
        </w:rPr>
      </w:pPr>
      <w:r w:rsidRPr="00652152">
        <w:rPr>
          <w:rFonts w:ascii="Arial" w:hAnsi="Arial" w:cs="Arial"/>
          <w:sz w:val="22"/>
          <w:szCs w:val="22"/>
          <w:lang w:val="en-US"/>
        </w:rPr>
        <w:t xml:space="preserve">The purpose of these projects is to restore functionality at stations which includes the repairs or replacement of fences, painting of platform lines, </w:t>
      </w:r>
      <w:proofErr w:type="gramStart"/>
      <w:r w:rsidRPr="00652152">
        <w:rPr>
          <w:rFonts w:ascii="Arial" w:hAnsi="Arial" w:cs="Arial"/>
          <w:sz w:val="22"/>
          <w:szCs w:val="22"/>
          <w:lang w:val="en-US"/>
        </w:rPr>
        <w:t>lighting</w:t>
      </w:r>
      <w:proofErr w:type="gramEnd"/>
      <w:r w:rsidRPr="00652152">
        <w:rPr>
          <w:rFonts w:ascii="Arial" w:hAnsi="Arial" w:cs="Arial"/>
          <w:sz w:val="22"/>
          <w:szCs w:val="22"/>
          <w:lang w:val="en-US"/>
        </w:rPr>
        <w:t xml:space="preserve">, provision of water and working toilets, ticket offices among other functional requirements. </w:t>
      </w:r>
    </w:p>
    <w:p w:rsidR="00DE3BCF" w:rsidRPr="00652152" w:rsidRDefault="009777AB" w:rsidP="00B06BAA">
      <w:pPr>
        <w:spacing w:before="100" w:beforeAutospacing="1" w:after="100" w:afterAutospacing="1"/>
        <w:ind w:left="567" w:hanging="567"/>
        <w:jc w:val="both"/>
        <w:outlineLvl w:val="0"/>
        <w:rPr>
          <w:rFonts w:ascii="Arial" w:hAnsi="Arial" w:cs="Arial"/>
          <w:sz w:val="22"/>
          <w:szCs w:val="22"/>
          <w:lang w:val="en-ZA"/>
        </w:rPr>
      </w:pPr>
      <w:r w:rsidRPr="00652152">
        <w:rPr>
          <w:rFonts w:ascii="Arial" w:hAnsi="Arial" w:cs="Arial"/>
          <w:sz w:val="22"/>
          <w:szCs w:val="22"/>
        </w:rPr>
        <w:t>(b)</w:t>
      </w:r>
      <w:r w:rsidR="00B06BAA" w:rsidRPr="00652152">
        <w:rPr>
          <w:rFonts w:ascii="Arial" w:hAnsi="Arial" w:cs="Arial"/>
          <w:sz w:val="22"/>
          <w:szCs w:val="22"/>
        </w:rPr>
        <w:tab/>
      </w:r>
      <w:r w:rsidR="00DE3BCF" w:rsidRPr="00652152">
        <w:rPr>
          <w:rFonts w:ascii="Arial" w:hAnsi="Arial" w:cs="Arial"/>
          <w:sz w:val="22"/>
          <w:szCs w:val="22"/>
          <w:lang w:val="en-ZA"/>
        </w:rPr>
        <w:t xml:space="preserve">Security is not deployed at leased houses. The few that are not leased we do </w:t>
      </w:r>
      <w:proofErr w:type="gramStart"/>
      <w:r w:rsidR="00DE3BCF" w:rsidRPr="00652152">
        <w:rPr>
          <w:rFonts w:ascii="Arial" w:hAnsi="Arial" w:cs="Arial"/>
          <w:sz w:val="22"/>
          <w:szCs w:val="22"/>
          <w:lang w:val="en-ZA"/>
        </w:rPr>
        <w:t>checks</w:t>
      </w:r>
      <w:proofErr w:type="gramEnd"/>
      <w:r w:rsidR="00DE3BCF" w:rsidRPr="00652152">
        <w:rPr>
          <w:rFonts w:ascii="Arial" w:hAnsi="Arial" w:cs="Arial"/>
          <w:sz w:val="22"/>
          <w:szCs w:val="22"/>
          <w:lang w:val="en-ZA"/>
        </w:rPr>
        <w:t xml:space="preserve"> on these properties on the routes by security. Limited security is however deployed at commercial buildings that are not leased. The deployment will increase over the next month as it forms part of our total security deployment plan and intervention which will have a total of 4500 extra security guards excluding our internal guards, totalling 7000 people on the ground covering PRASA assets and infrastructure.</w:t>
      </w:r>
    </w:p>
    <w:p w:rsidR="006D2827" w:rsidRPr="00652152" w:rsidRDefault="006D2827" w:rsidP="00B06BAA">
      <w:pPr>
        <w:numPr>
          <w:ilvl w:val="0"/>
          <w:numId w:val="21"/>
        </w:numPr>
        <w:spacing w:before="100" w:beforeAutospacing="1" w:after="100" w:afterAutospacing="1"/>
        <w:ind w:left="567" w:hanging="567"/>
        <w:jc w:val="both"/>
        <w:rPr>
          <w:rFonts w:ascii="Arial" w:hAnsi="Arial" w:cs="Arial"/>
          <w:sz w:val="22"/>
          <w:szCs w:val="22"/>
        </w:rPr>
      </w:pPr>
      <w:r w:rsidRPr="00652152">
        <w:rPr>
          <w:rFonts w:ascii="Arial" w:hAnsi="Arial" w:cs="Arial"/>
          <w:sz w:val="22"/>
          <w:szCs w:val="22"/>
          <w:lang w:val="en-US"/>
        </w:rPr>
        <w:t xml:space="preserve">The 3 years fencing maintenance contracts will then be used to maintain these newly restored fences. The tenders for the three (3) years fencing maintenance contracts will be advertised before end of the financial year.  </w:t>
      </w:r>
      <w:bookmarkEnd w:id="1"/>
    </w:p>
    <w:sectPr w:rsidR="006D2827" w:rsidRPr="00652152" w:rsidSect="00B06BAA">
      <w:pgSz w:w="12240" w:h="15840"/>
      <w:pgMar w:top="993"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17" w:rsidRDefault="00D30317">
      <w:r>
        <w:separator/>
      </w:r>
    </w:p>
  </w:endnote>
  <w:endnote w:type="continuationSeparator" w:id="0">
    <w:p w:rsidR="00D30317" w:rsidRDefault="00D30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17" w:rsidRDefault="00D30317">
      <w:r>
        <w:separator/>
      </w:r>
    </w:p>
  </w:footnote>
  <w:footnote w:type="continuationSeparator" w:id="0">
    <w:p w:rsidR="00D30317" w:rsidRDefault="00D30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F617D"/>
    <w:multiLevelType w:val="hybridMultilevel"/>
    <w:tmpl w:val="78165EDC"/>
    <w:lvl w:ilvl="0" w:tplc="D25E1E2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1820F0"/>
    <w:multiLevelType w:val="hybridMultilevel"/>
    <w:tmpl w:val="91B07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9D03DD4"/>
    <w:multiLevelType w:val="hybridMultilevel"/>
    <w:tmpl w:val="49222E90"/>
    <w:lvl w:ilvl="0" w:tplc="0D7EE7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97B5EA7"/>
    <w:multiLevelType w:val="hybridMultilevel"/>
    <w:tmpl w:val="EAFC80C4"/>
    <w:lvl w:ilvl="0" w:tplc="A1FCC706">
      <w:start w:val="1"/>
      <w:numFmt w:val="decimal"/>
      <w:lvlText w:val="(%1)"/>
      <w:lvlJc w:val="left"/>
      <w:pPr>
        <w:ind w:left="2421" w:hanging="360"/>
      </w:pPr>
      <w:rPr>
        <w:rFonts w:hint="default"/>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10">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9512A7"/>
    <w:multiLevelType w:val="hybridMultilevel"/>
    <w:tmpl w:val="426A732E"/>
    <w:lvl w:ilvl="0" w:tplc="FD9020EC">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19"/>
  </w:num>
  <w:num w:numId="4">
    <w:abstractNumId w:val="22"/>
  </w:num>
  <w:num w:numId="5">
    <w:abstractNumId w:val="16"/>
  </w:num>
  <w:num w:numId="6">
    <w:abstractNumId w:val="13"/>
  </w:num>
  <w:num w:numId="7">
    <w:abstractNumId w:val="10"/>
  </w:num>
  <w:num w:numId="8">
    <w:abstractNumId w:val="3"/>
  </w:num>
  <w:num w:numId="9">
    <w:abstractNumId w:val="17"/>
  </w:num>
  <w:num w:numId="10">
    <w:abstractNumId w:val="8"/>
  </w:num>
  <w:num w:numId="11">
    <w:abstractNumId w:val="5"/>
  </w:num>
  <w:num w:numId="12">
    <w:abstractNumId w:val="12"/>
  </w:num>
  <w:num w:numId="13">
    <w:abstractNumId w:val="1"/>
  </w:num>
  <w:num w:numId="14">
    <w:abstractNumId w:val="20"/>
  </w:num>
  <w:num w:numId="15">
    <w:abstractNumId w:val="15"/>
  </w:num>
  <w:num w:numId="16">
    <w:abstractNumId w:val="18"/>
  </w:num>
  <w:num w:numId="17">
    <w:abstractNumId w:val="0"/>
  </w:num>
  <w:num w:numId="18">
    <w:abstractNumId w:val="14"/>
  </w:num>
  <w:num w:numId="19">
    <w:abstractNumId w:val="2"/>
  </w:num>
  <w:num w:numId="20">
    <w:abstractNumId w:val="21"/>
  </w:num>
  <w:num w:numId="21">
    <w:abstractNumId w:val="9"/>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223A"/>
    <w:rsid w:val="00014DCA"/>
    <w:rsid w:val="00020051"/>
    <w:rsid w:val="0004110B"/>
    <w:rsid w:val="00052E60"/>
    <w:rsid w:val="00064000"/>
    <w:rsid w:val="000B39CA"/>
    <w:rsid w:val="000C1F52"/>
    <w:rsid w:val="000C2EA5"/>
    <w:rsid w:val="000D2FCC"/>
    <w:rsid w:val="000E0272"/>
    <w:rsid w:val="000E46E0"/>
    <w:rsid w:val="00107B84"/>
    <w:rsid w:val="00127B55"/>
    <w:rsid w:val="00130913"/>
    <w:rsid w:val="00136739"/>
    <w:rsid w:val="001A6EB5"/>
    <w:rsid w:val="001B3A9C"/>
    <w:rsid w:val="001C0016"/>
    <w:rsid w:val="001C5350"/>
    <w:rsid w:val="001E56FC"/>
    <w:rsid w:val="001F04AB"/>
    <w:rsid w:val="00237995"/>
    <w:rsid w:val="00237C59"/>
    <w:rsid w:val="002425A4"/>
    <w:rsid w:val="00252FE4"/>
    <w:rsid w:val="0026496F"/>
    <w:rsid w:val="00275B07"/>
    <w:rsid w:val="002765E6"/>
    <w:rsid w:val="00287706"/>
    <w:rsid w:val="002972F4"/>
    <w:rsid w:val="002A3D2A"/>
    <w:rsid w:val="002A6B98"/>
    <w:rsid w:val="002B33E9"/>
    <w:rsid w:val="002B4CC3"/>
    <w:rsid w:val="002F46AC"/>
    <w:rsid w:val="003148C1"/>
    <w:rsid w:val="00337C35"/>
    <w:rsid w:val="00367108"/>
    <w:rsid w:val="0037735D"/>
    <w:rsid w:val="0038074E"/>
    <w:rsid w:val="0038097C"/>
    <w:rsid w:val="00395FAB"/>
    <w:rsid w:val="003E6EEB"/>
    <w:rsid w:val="003E7A1C"/>
    <w:rsid w:val="0040324C"/>
    <w:rsid w:val="00411597"/>
    <w:rsid w:val="00411BD1"/>
    <w:rsid w:val="00411F12"/>
    <w:rsid w:val="00431FFB"/>
    <w:rsid w:val="00437E91"/>
    <w:rsid w:val="00457030"/>
    <w:rsid w:val="00471AD3"/>
    <w:rsid w:val="00485272"/>
    <w:rsid w:val="004B3E87"/>
    <w:rsid w:val="004E7C50"/>
    <w:rsid w:val="004F3E90"/>
    <w:rsid w:val="005104B5"/>
    <w:rsid w:val="00510ACC"/>
    <w:rsid w:val="00510B97"/>
    <w:rsid w:val="005229D6"/>
    <w:rsid w:val="0053543F"/>
    <w:rsid w:val="005B41E4"/>
    <w:rsid w:val="005C31F0"/>
    <w:rsid w:val="005E0BB2"/>
    <w:rsid w:val="005E2AAE"/>
    <w:rsid w:val="006053FE"/>
    <w:rsid w:val="00607381"/>
    <w:rsid w:val="00611598"/>
    <w:rsid w:val="00636266"/>
    <w:rsid w:val="0064301D"/>
    <w:rsid w:val="00652152"/>
    <w:rsid w:val="006532B9"/>
    <w:rsid w:val="00661147"/>
    <w:rsid w:val="00666D4D"/>
    <w:rsid w:val="006728B3"/>
    <w:rsid w:val="00673B92"/>
    <w:rsid w:val="00675536"/>
    <w:rsid w:val="00677616"/>
    <w:rsid w:val="00696594"/>
    <w:rsid w:val="006B2B5E"/>
    <w:rsid w:val="006B5DF0"/>
    <w:rsid w:val="006D2827"/>
    <w:rsid w:val="00704C1A"/>
    <w:rsid w:val="007058EE"/>
    <w:rsid w:val="00707F30"/>
    <w:rsid w:val="00713973"/>
    <w:rsid w:val="007269C6"/>
    <w:rsid w:val="007277EA"/>
    <w:rsid w:val="007341C8"/>
    <w:rsid w:val="007555EA"/>
    <w:rsid w:val="00765CB9"/>
    <w:rsid w:val="007663E2"/>
    <w:rsid w:val="007B2C28"/>
    <w:rsid w:val="007B5587"/>
    <w:rsid w:val="007C3628"/>
    <w:rsid w:val="007C49D3"/>
    <w:rsid w:val="007D1DB5"/>
    <w:rsid w:val="007F4FB6"/>
    <w:rsid w:val="00806B90"/>
    <w:rsid w:val="00807A43"/>
    <w:rsid w:val="0082465F"/>
    <w:rsid w:val="00835CF7"/>
    <w:rsid w:val="008415E3"/>
    <w:rsid w:val="00854EEA"/>
    <w:rsid w:val="00855F60"/>
    <w:rsid w:val="00857E66"/>
    <w:rsid w:val="00862BE6"/>
    <w:rsid w:val="0088592E"/>
    <w:rsid w:val="008C423C"/>
    <w:rsid w:val="008D2789"/>
    <w:rsid w:val="008F379E"/>
    <w:rsid w:val="008F5A58"/>
    <w:rsid w:val="008F626B"/>
    <w:rsid w:val="009007BA"/>
    <w:rsid w:val="00912179"/>
    <w:rsid w:val="00952F91"/>
    <w:rsid w:val="00961116"/>
    <w:rsid w:val="00970C1F"/>
    <w:rsid w:val="009777AB"/>
    <w:rsid w:val="00977C0A"/>
    <w:rsid w:val="00982F73"/>
    <w:rsid w:val="009837A4"/>
    <w:rsid w:val="009A00BC"/>
    <w:rsid w:val="009A75BD"/>
    <w:rsid w:val="009B23A9"/>
    <w:rsid w:val="009B47B9"/>
    <w:rsid w:val="009C2DDB"/>
    <w:rsid w:val="009F40C5"/>
    <w:rsid w:val="00A0518F"/>
    <w:rsid w:val="00A054A7"/>
    <w:rsid w:val="00A0566C"/>
    <w:rsid w:val="00A14605"/>
    <w:rsid w:val="00A24093"/>
    <w:rsid w:val="00A52B6B"/>
    <w:rsid w:val="00A72D34"/>
    <w:rsid w:val="00A74B01"/>
    <w:rsid w:val="00A80870"/>
    <w:rsid w:val="00AD2857"/>
    <w:rsid w:val="00AD7A5B"/>
    <w:rsid w:val="00AF188A"/>
    <w:rsid w:val="00B05E98"/>
    <w:rsid w:val="00B06BAA"/>
    <w:rsid w:val="00B10B47"/>
    <w:rsid w:val="00B10F90"/>
    <w:rsid w:val="00B70328"/>
    <w:rsid w:val="00B75168"/>
    <w:rsid w:val="00B83217"/>
    <w:rsid w:val="00BA0A9C"/>
    <w:rsid w:val="00BC22EA"/>
    <w:rsid w:val="00C006D6"/>
    <w:rsid w:val="00C250FE"/>
    <w:rsid w:val="00C310D1"/>
    <w:rsid w:val="00C56433"/>
    <w:rsid w:val="00C7054F"/>
    <w:rsid w:val="00C815E6"/>
    <w:rsid w:val="00C84760"/>
    <w:rsid w:val="00C9190C"/>
    <w:rsid w:val="00CA643E"/>
    <w:rsid w:val="00CB2AB7"/>
    <w:rsid w:val="00CB2B14"/>
    <w:rsid w:val="00CB6C42"/>
    <w:rsid w:val="00CC12C9"/>
    <w:rsid w:val="00CD4A26"/>
    <w:rsid w:val="00CD56BE"/>
    <w:rsid w:val="00CE11EF"/>
    <w:rsid w:val="00CE4231"/>
    <w:rsid w:val="00CF46F2"/>
    <w:rsid w:val="00D20AFB"/>
    <w:rsid w:val="00D30317"/>
    <w:rsid w:val="00D34CBF"/>
    <w:rsid w:val="00D56B1D"/>
    <w:rsid w:val="00D76C5F"/>
    <w:rsid w:val="00D76D32"/>
    <w:rsid w:val="00D83C54"/>
    <w:rsid w:val="00DA3F5F"/>
    <w:rsid w:val="00DB7340"/>
    <w:rsid w:val="00DD1C18"/>
    <w:rsid w:val="00DE3BCF"/>
    <w:rsid w:val="00DF2A06"/>
    <w:rsid w:val="00DF3929"/>
    <w:rsid w:val="00E22B78"/>
    <w:rsid w:val="00E3479A"/>
    <w:rsid w:val="00E42C01"/>
    <w:rsid w:val="00E51CF2"/>
    <w:rsid w:val="00E5486F"/>
    <w:rsid w:val="00E752A0"/>
    <w:rsid w:val="00E83074"/>
    <w:rsid w:val="00E85026"/>
    <w:rsid w:val="00E9309F"/>
    <w:rsid w:val="00EA18B3"/>
    <w:rsid w:val="00EB4F6D"/>
    <w:rsid w:val="00EC3A80"/>
    <w:rsid w:val="00EF4F84"/>
    <w:rsid w:val="00F0627A"/>
    <w:rsid w:val="00F274D2"/>
    <w:rsid w:val="00F34081"/>
    <w:rsid w:val="00F47916"/>
    <w:rsid w:val="00F63B7B"/>
    <w:rsid w:val="00F66FFC"/>
    <w:rsid w:val="00F71816"/>
    <w:rsid w:val="00F72FDD"/>
    <w:rsid w:val="00F763C3"/>
    <w:rsid w:val="00F81A73"/>
    <w:rsid w:val="00F924CF"/>
    <w:rsid w:val="00F95566"/>
    <w:rsid w:val="00FA27FB"/>
    <w:rsid w:val="00FA54F7"/>
    <w:rsid w:val="00FC49AD"/>
    <w:rsid w:val="00FC63AA"/>
    <w:rsid w:val="00FD4470"/>
    <w:rsid w:val="00FD7DC2"/>
    <w:rsid w:val="00FD7E25"/>
    <w:rsid w:val="00FE0A96"/>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CF7"/>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table" w:customStyle="1" w:styleId="TableGrid0">
    <w:name w:val="TableGrid"/>
    <w:rsid w:val="00CD4A26"/>
    <w:rPr>
      <w:rFonts w:ascii="Calibri" w:hAnsi="Calibri"/>
      <w:sz w:val="22"/>
      <w:szCs w:val="22"/>
      <w:lang w:val="en-US" w:eastAsia="en-US"/>
    </w:rPr>
    <w:tblPr>
      <w:tblCellMar>
        <w:top w:w="0" w:type="dxa"/>
        <w:left w:w="0" w:type="dxa"/>
        <w:bottom w:w="0" w:type="dxa"/>
        <w:right w:w="0" w:type="dxa"/>
      </w:tblCellMar>
    </w:tblPr>
  </w:style>
  <w:style w:type="paragraph" w:styleId="EndnoteText">
    <w:name w:val="endnote text"/>
    <w:basedOn w:val="Normal"/>
    <w:link w:val="EndnoteTextChar"/>
    <w:rsid w:val="00CD4A26"/>
    <w:rPr>
      <w:sz w:val="20"/>
    </w:rPr>
  </w:style>
  <w:style w:type="character" w:customStyle="1" w:styleId="EndnoteTextChar">
    <w:name w:val="Endnote Text Char"/>
    <w:link w:val="EndnoteText"/>
    <w:rsid w:val="00CD4A26"/>
    <w:rPr>
      <w:rFonts w:ascii="Footlight MT Light" w:hAnsi="Footlight MT Light"/>
      <w:lang w:val="en-GB" w:eastAsia="en-US"/>
    </w:rPr>
  </w:style>
  <w:style w:type="character" w:styleId="EndnoteReference">
    <w:name w:val="endnote reference"/>
    <w:rsid w:val="00CD4A26"/>
    <w:rPr>
      <w:vertAlign w:val="superscript"/>
    </w:rPr>
  </w:style>
</w:styles>
</file>

<file path=word/webSettings.xml><?xml version="1.0" encoding="utf-8"?>
<w:webSettings xmlns:r="http://schemas.openxmlformats.org/officeDocument/2006/relationships" xmlns:w="http://schemas.openxmlformats.org/wordprocessingml/2006/main">
  <w:divs>
    <w:div w:id="1562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364-0C9B-4F00-AF83-A0283627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F9FF9FBF-D2A8-482A-BCD2-EBB4CEB13D59}">
  <ds:schemaRefs>
    <ds:schemaRef ds:uri="http://schemas.microsoft.com/office/2006/metadata/properties"/>
  </ds:schemaRefs>
</ds:datastoreItem>
</file>

<file path=customXml/itemProps4.xml><?xml version="1.0" encoding="utf-8"?>
<ds:datastoreItem xmlns:ds="http://schemas.openxmlformats.org/officeDocument/2006/customXml" ds:itemID="{74DAB327-8425-4DD3-8E60-2CBDE884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2021-06-15T09:19:00Z</cp:lastPrinted>
  <dcterms:created xsi:type="dcterms:W3CDTF">2021-11-19T13:07:00Z</dcterms:created>
  <dcterms:modified xsi:type="dcterms:W3CDTF">2021-11-19T13:07:00Z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