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81F0" w14:textId="77777777" w:rsidR="000653BA" w:rsidRDefault="000653BA" w:rsidP="00442438">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14:paraId="1BECA56A" w14:textId="0FEB929A" w:rsidR="000653BA" w:rsidRDefault="000653BA" w:rsidP="00442438">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 xml:space="preserve">Question Number: </w:t>
      </w:r>
      <w:r w:rsidR="00F657BB">
        <w:rPr>
          <w:rFonts w:ascii="Arial" w:eastAsia="Calibri" w:hAnsi="Arial" w:cs="Arial"/>
          <w:b/>
          <w:lang w:val="en-ZA"/>
        </w:rPr>
        <w:t>182</w:t>
      </w:r>
    </w:p>
    <w:p w14:paraId="7421C7CB" w14:textId="467234D9" w:rsidR="00F657BB" w:rsidRPr="003A07EE" w:rsidRDefault="00F657BB" w:rsidP="00442438">
      <w:pPr>
        <w:spacing w:before="100" w:beforeAutospacing="1" w:after="100" w:afterAutospacing="1" w:line="360" w:lineRule="auto"/>
        <w:ind w:left="567" w:hanging="567"/>
        <w:jc w:val="both"/>
        <w:outlineLvl w:val="0"/>
        <w:rPr>
          <w:rFonts w:ascii="Arial" w:hAnsi="Arial" w:cs="Arial"/>
          <w:b/>
          <w:noProof/>
          <w:lang w:val="af-ZA"/>
        </w:rPr>
      </w:pPr>
      <w:r w:rsidRPr="003A07EE">
        <w:rPr>
          <w:rFonts w:ascii="Arial" w:hAnsi="Arial" w:cs="Arial"/>
          <w:b/>
          <w:noProof/>
          <w:lang w:val="af-ZA"/>
        </w:rPr>
        <w:t>Mr C H H Hunsinger (DA) to ask the Minister of Transport:</w:t>
      </w:r>
    </w:p>
    <w:p w14:paraId="4EFA9B86" w14:textId="77777777" w:rsidR="00F657BB" w:rsidRDefault="00F657BB" w:rsidP="00442438">
      <w:pPr>
        <w:widowControl w:val="0"/>
        <w:autoSpaceDE w:val="0"/>
        <w:autoSpaceDN w:val="0"/>
        <w:adjustRightInd w:val="0"/>
        <w:spacing w:after="0" w:line="360" w:lineRule="auto"/>
        <w:ind w:left="567" w:hanging="567"/>
        <w:jc w:val="both"/>
        <w:rPr>
          <w:rFonts w:ascii="Arial" w:hAnsi="Arial" w:cs="Arial"/>
        </w:rPr>
      </w:pPr>
      <w:r w:rsidRPr="003A07EE">
        <w:rPr>
          <w:rFonts w:ascii="Arial" w:hAnsi="Arial" w:cs="Arial"/>
        </w:rPr>
        <w:t>(1)</w:t>
      </w:r>
      <w:r w:rsidRPr="003A07EE">
        <w:rPr>
          <w:rFonts w:ascii="Arial" w:hAnsi="Arial" w:cs="Arial"/>
        </w:rPr>
        <w:tab/>
        <w:t xml:space="preserve">(a) What are the details of the process followed to appoint a </w:t>
      </w:r>
      <w:proofErr w:type="spellStart"/>
      <w:r>
        <w:rPr>
          <w:rFonts w:ascii="Arial" w:hAnsi="Arial" w:cs="Arial"/>
        </w:rPr>
        <w:t>Ranamane</w:t>
      </w:r>
      <w:proofErr w:type="spellEnd"/>
      <w:r>
        <w:rPr>
          <w:rFonts w:ascii="Arial" w:hAnsi="Arial" w:cs="Arial"/>
        </w:rPr>
        <w:t xml:space="preserve"> </w:t>
      </w:r>
      <w:proofErr w:type="spellStart"/>
      <w:r>
        <w:rPr>
          <w:rFonts w:ascii="Arial" w:hAnsi="Arial" w:cs="Arial"/>
        </w:rPr>
        <w:t>Mokalane</w:t>
      </w:r>
      <w:proofErr w:type="spellEnd"/>
      <w:r>
        <w:rPr>
          <w:rFonts w:ascii="Arial" w:hAnsi="Arial" w:cs="Arial"/>
        </w:rPr>
        <w:t xml:space="preserve"> Incorporated </w:t>
      </w:r>
      <w:r w:rsidRPr="003A07EE">
        <w:rPr>
          <w:rFonts w:ascii="Arial" w:hAnsi="Arial" w:cs="Arial"/>
        </w:rPr>
        <w:t xml:space="preserve">to represent Metrorail in the matter between </w:t>
      </w:r>
      <w:proofErr w:type="spellStart"/>
      <w:r>
        <w:rPr>
          <w:rFonts w:ascii="Arial" w:hAnsi="Arial" w:cs="Arial"/>
        </w:rPr>
        <w:t>Mukoma</w:t>
      </w:r>
      <w:proofErr w:type="spellEnd"/>
      <w:r>
        <w:rPr>
          <w:rFonts w:ascii="Arial" w:hAnsi="Arial" w:cs="Arial"/>
        </w:rPr>
        <w:t xml:space="preserve"> Technologies</w:t>
      </w:r>
      <w:r w:rsidRPr="003A07EE">
        <w:rPr>
          <w:rFonts w:ascii="Arial" w:hAnsi="Arial" w:cs="Arial"/>
        </w:rPr>
        <w:t xml:space="preserve"> and Metrorail in the High Court of South Africa, </w:t>
      </w:r>
      <w:r>
        <w:rPr>
          <w:rFonts w:ascii="Arial" w:hAnsi="Arial" w:cs="Arial"/>
        </w:rPr>
        <w:t>case number 47482/2009 dated 30 January 2017</w:t>
      </w:r>
      <w:r w:rsidRPr="003A07EE">
        <w:rPr>
          <w:rFonts w:ascii="Arial" w:hAnsi="Arial" w:cs="Arial"/>
        </w:rPr>
        <w:t>, (b) what are the names of other legal representatives that were considered, (c) on what date was the specified representative appointed, (d) what amount has been paid by Metrorail to the representative to date, (e) in what number of cases has the specified representative represented Metrorail and (f) what was the outcome in each case;</w:t>
      </w:r>
    </w:p>
    <w:p w14:paraId="7F2D495B" w14:textId="77777777" w:rsidR="00F657BB" w:rsidRPr="003A07EE" w:rsidRDefault="00F657BB" w:rsidP="00442438">
      <w:pPr>
        <w:widowControl w:val="0"/>
        <w:autoSpaceDE w:val="0"/>
        <w:autoSpaceDN w:val="0"/>
        <w:adjustRightInd w:val="0"/>
        <w:spacing w:after="0" w:line="360" w:lineRule="auto"/>
        <w:ind w:left="567" w:hanging="567"/>
        <w:jc w:val="both"/>
        <w:rPr>
          <w:rFonts w:ascii="Arial" w:hAnsi="Arial" w:cs="Arial"/>
        </w:rPr>
      </w:pPr>
    </w:p>
    <w:p w14:paraId="0764148F" w14:textId="77777777" w:rsidR="00F657BB" w:rsidRDefault="00F657BB" w:rsidP="00442438">
      <w:pPr>
        <w:widowControl w:val="0"/>
        <w:autoSpaceDE w:val="0"/>
        <w:autoSpaceDN w:val="0"/>
        <w:adjustRightInd w:val="0"/>
        <w:spacing w:after="0" w:line="360" w:lineRule="auto"/>
        <w:ind w:left="567" w:hanging="567"/>
        <w:jc w:val="both"/>
        <w:rPr>
          <w:rFonts w:ascii="Arial" w:hAnsi="Arial" w:cs="Arial"/>
        </w:rPr>
      </w:pPr>
      <w:r w:rsidRPr="003A07EE">
        <w:rPr>
          <w:rFonts w:ascii="Arial" w:hAnsi="Arial" w:cs="Arial"/>
        </w:rPr>
        <w:t>(2)</w:t>
      </w:r>
      <w:r w:rsidRPr="003A07EE">
        <w:rPr>
          <w:rFonts w:ascii="Arial" w:hAnsi="Arial" w:cs="Arial"/>
        </w:rPr>
        <w:tab/>
        <w:t>whether Metrorail verified the registration details of the specified representative; if not, why not; if so, what are the registration details of the representative;</w:t>
      </w:r>
    </w:p>
    <w:p w14:paraId="25756607" w14:textId="77777777" w:rsidR="00F657BB" w:rsidRPr="003A07EE" w:rsidRDefault="00F657BB" w:rsidP="00442438">
      <w:pPr>
        <w:widowControl w:val="0"/>
        <w:autoSpaceDE w:val="0"/>
        <w:autoSpaceDN w:val="0"/>
        <w:adjustRightInd w:val="0"/>
        <w:spacing w:after="0" w:line="360" w:lineRule="auto"/>
        <w:ind w:left="567" w:hanging="567"/>
        <w:jc w:val="both"/>
        <w:rPr>
          <w:rFonts w:ascii="Arial" w:hAnsi="Arial" w:cs="Arial"/>
        </w:rPr>
      </w:pPr>
    </w:p>
    <w:p w14:paraId="23D7D73D" w14:textId="77777777" w:rsidR="00F657BB" w:rsidRDefault="00F657BB" w:rsidP="00442438">
      <w:pPr>
        <w:widowControl w:val="0"/>
        <w:autoSpaceDE w:val="0"/>
        <w:autoSpaceDN w:val="0"/>
        <w:adjustRightInd w:val="0"/>
        <w:spacing w:after="0" w:line="360" w:lineRule="auto"/>
        <w:ind w:left="567" w:hanging="567"/>
        <w:jc w:val="both"/>
        <w:rPr>
          <w:rFonts w:ascii="Arial" w:hAnsi="Arial" w:cs="Arial"/>
        </w:rPr>
      </w:pPr>
      <w:r w:rsidRPr="003A07EE">
        <w:rPr>
          <w:rFonts w:ascii="Arial" w:hAnsi="Arial" w:cs="Arial"/>
        </w:rPr>
        <w:t>(3)</w:t>
      </w:r>
      <w:r w:rsidRPr="003A07EE">
        <w:rPr>
          <w:rFonts w:ascii="Arial" w:hAnsi="Arial" w:cs="Arial"/>
        </w:rPr>
        <w:tab/>
        <w:t>whether Metrorail conducted a background check on the specified representative before appointing it; if not, why not; if so, what are the details of the (a) process and (b) outcome;</w:t>
      </w:r>
    </w:p>
    <w:p w14:paraId="2A68F795" w14:textId="77777777" w:rsidR="00F657BB" w:rsidRPr="003A07EE" w:rsidRDefault="00F657BB" w:rsidP="00442438">
      <w:pPr>
        <w:widowControl w:val="0"/>
        <w:autoSpaceDE w:val="0"/>
        <w:autoSpaceDN w:val="0"/>
        <w:adjustRightInd w:val="0"/>
        <w:spacing w:after="0" w:line="360" w:lineRule="auto"/>
        <w:ind w:left="567" w:hanging="567"/>
        <w:jc w:val="both"/>
        <w:rPr>
          <w:rFonts w:ascii="Arial" w:hAnsi="Arial" w:cs="Arial"/>
        </w:rPr>
      </w:pPr>
    </w:p>
    <w:p w14:paraId="2079CB1E" w14:textId="77777777" w:rsidR="00442438" w:rsidRDefault="00F657BB" w:rsidP="00442438">
      <w:pPr>
        <w:widowControl w:val="0"/>
        <w:autoSpaceDE w:val="0"/>
        <w:autoSpaceDN w:val="0"/>
        <w:adjustRightInd w:val="0"/>
        <w:spacing w:after="0" w:line="360" w:lineRule="auto"/>
        <w:ind w:left="567" w:hanging="567"/>
        <w:jc w:val="both"/>
        <w:rPr>
          <w:rFonts w:ascii="Arial" w:hAnsi="Arial" w:cs="Arial"/>
          <w:lang w:val="en-GB"/>
        </w:rPr>
      </w:pPr>
      <w:r w:rsidRPr="003A07EE">
        <w:rPr>
          <w:rFonts w:ascii="Arial" w:hAnsi="Arial" w:cs="Arial"/>
        </w:rPr>
        <w:t>(4)</w:t>
      </w:r>
      <w:r w:rsidRPr="003A07EE">
        <w:rPr>
          <w:rFonts w:ascii="Arial" w:hAnsi="Arial" w:cs="Arial"/>
        </w:rPr>
        <w:tab/>
        <w:t>whether the specified representative still represents Metrorail</w:t>
      </w:r>
      <w:r w:rsidRPr="003A07EE">
        <w:rPr>
          <w:rFonts w:ascii="Arial" w:hAnsi="Arial" w:cs="Arial"/>
          <w:lang w:val="en-GB"/>
        </w:rPr>
        <w:t>?</w:t>
      </w:r>
      <w:r w:rsidRPr="003A07EE">
        <w:rPr>
          <w:rFonts w:ascii="Arial" w:hAnsi="Arial" w:cs="Arial"/>
          <w:lang w:val="en-GB"/>
        </w:rPr>
        <w:tab/>
      </w:r>
    </w:p>
    <w:p w14:paraId="616A71D3" w14:textId="77777777" w:rsidR="00442438" w:rsidRDefault="00442438" w:rsidP="00442438">
      <w:pPr>
        <w:widowControl w:val="0"/>
        <w:autoSpaceDE w:val="0"/>
        <w:autoSpaceDN w:val="0"/>
        <w:adjustRightInd w:val="0"/>
        <w:spacing w:after="0" w:line="360" w:lineRule="auto"/>
        <w:ind w:left="567" w:hanging="567"/>
        <w:jc w:val="both"/>
        <w:rPr>
          <w:rFonts w:ascii="Arial" w:hAnsi="Arial" w:cs="Arial"/>
          <w:lang w:val="en-GB"/>
        </w:rPr>
      </w:pPr>
    </w:p>
    <w:p w14:paraId="17EEE05B" w14:textId="7B720D05" w:rsidR="00F657BB" w:rsidRPr="00442438" w:rsidRDefault="00F657BB" w:rsidP="00442438">
      <w:pPr>
        <w:widowControl w:val="0"/>
        <w:autoSpaceDE w:val="0"/>
        <w:autoSpaceDN w:val="0"/>
        <w:adjustRightInd w:val="0"/>
        <w:spacing w:after="0" w:line="360" w:lineRule="auto"/>
        <w:ind w:left="7767" w:firstLine="153"/>
        <w:jc w:val="both"/>
        <w:rPr>
          <w:rFonts w:ascii="Arial" w:hAnsi="Arial" w:cs="Arial"/>
          <w:b/>
        </w:rPr>
      </w:pPr>
      <w:r w:rsidRPr="00442438">
        <w:rPr>
          <w:rFonts w:ascii="Arial" w:hAnsi="Arial" w:cs="Arial"/>
          <w:b/>
          <w:lang w:val="en-GB"/>
        </w:rPr>
        <w:t>NW192E</w:t>
      </w:r>
    </w:p>
    <w:p w14:paraId="4221B2A3" w14:textId="77777777" w:rsidR="00F657BB" w:rsidRDefault="00F657BB" w:rsidP="00442438">
      <w:pPr>
        <w:spacing w:after="0" w:line="360" w:lineRule="auto"/>
        <w:ind w:left="567" w:hanging="567"/>
        <w:jc w:val="both"/>
        <w:outlineLvl w:val="0"/>
        <w:rPr>
          <w:rFonts w:ascii="Arial" w:eastAsia="Calibri" w:hAnsi="Arial" w:cs="Arial"/>
          <w:lang w:val="en-ZA"/>
        </w:rPr>
      </w:pPr>
    </w:p>
    <w:p w14:paraId="21CEFE2B" w14:textId="77777777" w:rsidR="00F657BB" w:rsidRDefault="00F657BB" w:rsidP="00442438">
      <w:pPr>
        <w:spacing w:after="0" w:line="360" w:lineRule="auto"/>
        <w:jc w:val="both"/>
        <w:outlineLvl w:val="0"/>
        <w:rPr>
          <w:rFonts w:ascii="Arial" w:eastAsia="Calibri" w:hAnsi="Arial" w:cs="Arial"/>
          <w:lang w:val="en-ZA"/>
        </w:rPr>
      </w:pPr>
    </w:p>
    <w:p w14:paraId="1CF98121" w14:textId="64B47044" w:rsidR="00F657BB" w:rsidRDefault="00F657BB" w:rsidP="00442438">
      <w:pPr>
        <w:spacing w:after="0" w:line="360" w:lineRule="auto"/>
        <w:jc w:val="both"/>
        <w:outlineLvl w:val="0"/>
        <w:rPr>
          <w:rFonts w:ascii="Arial" w:eastAsia="Calibri" w:hAnsi="Arial" w:cs="Arial"/>
          <w:lang w:val="en-ZA"/>
        </w:rPr>
      </w:pPr>
      <w:r>
        <w:rPr>
          <w:rFonts w:ascii="Arial" w:eastAsia="Calibri" w:hAnsi="Arial" w:cs="Arial"/>
          <w:b/>
          <w:lang w:val="en-ZA"/>
        </w:rPr>
        <w:t>R</w:t>
      </w:r>
      <w:r w:rsidR="00442438">
        <w:rPr>
          <w:rFonts w:ascii="Arial" w:eastAsia="Calibri" w:hAnsi="Arial" w:cs="Arial"/>
          <w:b/>
          <w:lang w:val="en-ZA"/>
        </w:rPr>
        <w:t>EPLY</w:t>
      </w:r>
      <w:r>
        <w:rPr>
          <w:rFonts w:ascii="Arial" w:eastAsia="Calibri" w:hAnsi="Arial" w:cs="Arial"/>
          <w:b/>
          <w:lang w:val="en-ZA"/>
        </w:rPr>
        <w:t>:</w:t>
      </w:r>
    </w:p>
    <w:p w14:paraId="2ADB89BC" w14:textId="77777777" w:rsidR="00F657BB" w:rsidRDefault="00F657BB" w:rsidP="00442438">
      <w:pPr>
        <w:spacing w:after="0" w:line="360" w:lineRule="auto"/>
        <w:jc w:val="both"/>
        <w:outlineLvl w:val="0"/>
        <w:rPr>
          <w:rFonts w:ascii="Arial" w:eastAsia="Calibri" w:hAnsi="Arial" w:cs="Arial"/>
          <w:lang w:val="en-ZA"/>
        </w:rPr>
      </w:pPr>
    </w:p>
    <w:p w14:paraId="433FB45C" w14:textId="77777777" w:rsidR="00F657BB" w:rsidRPr="00491B24" w:rsidRDefault="00F657BB" w:rsidP="00442438">
      <w:pPr>
        <w:pStyle w:val="ListParagraph"/>
        <w:numPr>
          <w:ilvl w:val="0"/>
          <w:numId w:val="9"/>
        </w:numPr>
        <w:tabs>
          <w:tab w:val="left" w:pos="567"/>
        </w:tabs>
        <w:spacing w:after="0" w:line="360" w:lineRule="auto"/>
        <w:ind w:left="1134" w:hanging="1134"/>
        <w:jc w:val="both"/>
        <w:outlineLvl w:val="0"/>
        <w:rPr>
          <w:rFonts w:ascii="Arial" w:eastAsia="Calibri" w:hAnsi="Arial" w:cs="Arial"/>
          <w:lang w:val="en-ZA"/>
        </w:rPr>
      </w:pPr>
      <w:r w:rsidRPr="00491B24">
        <w:rPr>
          <w:rFonts w:ascii="Arial" w:eastAsia="Calibri" w:hAnsi="Arial" w:cs="Arial"/>
          <w:lang w:val="en-ZA"/>
        </w:rPr>
        <w:t>(a)</w:t>
      </w:r>
      <w:r w:rsidRPr="00491B24">
        <w:rPr>
          <w:rFonts w:ascii="Arial" w:eastAsia="Calibri" w:hAnsi="Arial" w:cs="Arial"/>
          <w:lang w:val="en-ZA"/>
        </w:rPr>
        <w:tab/>
        <w:t>The panel of attorneys was appointed through an open tender process.  Once the panel is constituted, work is allocated to the lawyers and the attempt is made to ensure that work is allocated to attorneys in a fair and equitable manner that ensures attorneys are briefed according to their strengths, expertise and experience.</w:t>
      </w:r>
    </w:p>
    <w:p w14:paraId="7DF6F6B3" w14:textId="77777777" w:rsidR="00F657BB" w:rsidRPr="00491B24" w:rsidRDefault="00F657BB" w:rsidP="00442438">
      <w:pPr>
        <w:tabs>
          <w:tab w:val="left" w:pos="1134"/>
        </w:tabs>
        <w:spacing w:after="0" w:line="360" w:lineRule="auto"/>
        <w:jc w:val="both"/>
        <w:outlineLvl w:val="0"/>
        <w:rPr>
          <w:rFonts w:ascii="Arial" w:eastAsia="Calibri" w:hAnsi="Arial" w:cs="Arial"/>
          <w:lang w:val="en-ZA"/>
        </w:rPr>
      </w:pPr>
    </w:p>
    <w:p w14:paraId="06632399" w14:textId="77777777" w:rsidR="00F657BB" w:rsidRDefault="00F657BB" w:rsidP="00442438">
      <w:pPr>
        <w:pStyle w:val="ListParagraph"/>
        <w:tabs>
          <w:tab w:val="left" w:pos="1134"/>
        </w:tabs>
        <w:spacing w:after="0" w:line="360" w:lineRule="auto"/>
        <w:ind w:left="567"/>
        <w:jc w:val="both"/>
        <w:outlineLvl w:val="0"/>
        <w:rPr>
          <w:rFonts w:ascii="Arial" w:eastAsia="Calibri" w:hAnsi="Arial" w:cs="Arial"/>
          <w:lang w:val="en-ZA"/>
        </w:rPr>
      </w:pPr>
      <w:r>
        <w:rPr>
          <w:rFonts w:ascii="Arial" w:eastAsia="Calibri" w:hAnsi="Arial" w:cs="Arial"/>
          <w:lang w:val="en-ZA"/>
        </w:rPr>
        <w:t>(b)</w:t>
      </w:r>
      <w:r>
        <w:rPr>
          <w:rFonts w:ascii="Arial" w:eastAsia="Calibri" w:hAnsi="Arial" w:cs="Arial"/>
          <w:lang w:val="en-ZA"/>
        </w:rPr>
        <w:tab/>
        <w:t>The entire panel is considered when a new instruction is received.</w:t>
      </w:r>
    </w:p>
    <w:p w14:paraId="24594DB8" w14:textId="77777777" w:rsidR="00F657BB" w:rsidRDefault="00F657BB" w:rsidP="00442438">
      <w:pPr>
        <w:pStyle w:val="ListParagraph"/>
        <w:tabs>
          <w:tab w:val="left" w:pos="1134"/>
        </w:tabs>
        <w:spacing w:after="0" w:line="360" w:lineRule="auto"/>
        <w:ind w:left="567"/>
        <w:jc w:val="both"/>
        <w:outlineLvl w:val="0"/>
        <w:rPr>
          <w:rFonts w:ascii="Arial" w:eastAsia="Calibri" w:hAnsi="Arial" w:cs="Arial"/>
          <w:lang w:val="en-ZA"/>
        </w:rPr>
      </w:pPr>
    </w:p>
    <w:p w14:paraId="11075AF9" w14:textId="77777777" w:rsidR="00F657BB" w:rsidRDefault="00F657BB" w:rsidP="00442438">
      <w:pPr>
        <w:pStyle w:val="ListParagraph"/>
        <w:tabs>
          <w:tab w:val="left" w:pos="1134"/>
        </w:tabs>
        <w:spacing w:after="0" w:line="360" w:lineRule="auto"/>
        <w:ind w:left="1134" w:hanging="567"/>
        <w:jc w:val="both"/>
        <w:outlineLvl w:val="0"/>
        <w:rPr>
          <w:rFonts w:ascii="Arial" w:eastAsia="Calibri" w:hAnsi="Arial" w:cs="Arial"/>
          <w:lang w:val="en-ZA"/>
        </w:rPr>
      </w:pPr>
      <w:r>
        <w:rPr>
          <w:rFonts w:ascii="Arial" w:eastAsia="Calibri" w:hAnsi="Arial" w:cs="Arial"/>
          <w:lang w:val="en-ZA"/>
        </w:rPr>
        <w:lastRenderedPageBreak/>
        <w:t>(c)</w:t>
      </w:r>
      <w:r>
        <w:rPr>
          <w:rFonts w:ascii="Arial" w:eastAsia="Calibri" w:hAnsi="Arial" w:cs="Arial"/>
          <w:lang w:val="en-ZA"/>
        </w:rPr>
        <w:tab/>
        <w:t xml:space="preserve">The specific representative was first appointed in 2006 to represent PRASA in the Rail and Road Assessing / </w:t>
      </w:r>
      <w:proofErr w:type="spellStart"/>
      <w:r>
        <w:rPr>
          <w:rFonts w:ascii="Arial" w:eastAsia="Calibri" w:hAnsi="Arial" w:cs="Arial"/>
          <w:lang w:val="en-ZA"/>
        </w:rPr>
        <w:t>Mkhonza</w:t>
      </w:r>
      <w:proofErr w:type="spellEnd"/>
      <w:r>
        <w:rPr>
          <w:rFonts w:ascii="Arial" w:eastAsia="Calibri" w:hAnsi="Arial" w:cs="Arial"/>
          <w:lang w:val="en-ZA"/>
        </w:rPr>
        <w:t xml:space="preserve"> matter.  In 2009 the representative was appointed to represent PRASA in the </w:t>
      </w:r>
      <w:proofErr w:type="spellStart"/>
      <w:r>
        <w:rPr>
          <w:rFonts w:ascii="Arial" w:eastAsia="Calibri" w:hAnsi="Arial" w:cs="Arial"/>
          <w:lang w:val="en-ZA"/>
        </w:rPr>
        <w:t>Mukoma</w:t>
      </w:r>
      <w:proofErr w:type="spellEnd"/>
      <w:r>
        <w:rPr>
          <w:rFonts w:ascii="Arial" w:eastAsia="Calibri" w:hAnsi="Arial" w:cs="Arial"/>
          <w:lang w:val="en-ZA"/>
        </w:rPr>
        <w:t xml:space="preserve"> Technologies matter.</w:t>
      </w:r>
    </w:p>
    <w:p w14:paraId="6239AEBD" w14:textId="77777777" w:rsidR="00F657BB" w:rsidRDefault="00F657BB" w:rsidP="00442438">
      <w:pPr>
        <w:pStyle w:val="ListParagraph"/>
        <w:tabs>
          <w:tab w:val="left" w:pos="1134"/>
        </w:tabs>
        <w:spacing w:after="0" w:line="360" w:lineRule="auto"/>
        <w:ind w:left="567"/>
        <w:jc w:val="both"/>
        <w:outlineLvl w:val="0"/>
        <w:rPr>
          <w:rFonts w:ascii="Arial" w:eastAsia="Calibri" w:hAnsi="Arial" w:cs="Arial"/>
          <w:lang w:val="en-ZA"/>
        </w:rPr>
      </w:pPr>
    </w:p>
    <w:p w14:paraId="59F16FE9" w14:textId="77777777" w:rsidR="00F657BB" w:rsidRDefault="00F657BB" w:rsidP="00442438">
      <w:pPr>
        <w:pStyle w:val="ListParagraph"/>
        <w:tabs>
          <w:tab w:val="left" w:pos="1134"/>
        </w:tabs>
        <w:spacing w:after="0" w:line="360" w:lineRule="auto"/>
        <w:ind w:left="567"/>
        <w:jc w:val="both"/>
        <w:outlineLvl w:val="0"/>
        <w:rPr>
          <w:rFonts w:ascii="Arial" w:eastAsia="Calibri" w:hAnsi="Arial" w:cs="Arial"/>
          <w:lang w:val="en-ZA"/>
        </w:rPr>
      </w:pPr>
      <w:r>
        <w:rPr>
          <w:rFonts w:ascii="Arial" w:eastAsia="Calibri" w:hAnsi="Arial" w:cs="Arial"/>
          <w:lang w:val="en-ZA"/>
        </w:rPr>
        <w:t>(d)</w:t>
      </w:r>
      <w:r>
        <w:rPr>
          <w:rFonts w:ascii="Arial" w:eastAsia="Calibri" w:hAnsi="Arial" w:cs="Arial"/>
          <w:lang w:val="en-ZA"/>
        </w:rPr>
        <w:tab/>
        <w:t xml:space="preserve">The total amount paid to </w:t>
      </w:r>
      <w:proofErr w:type="spellStart"/>
      <w:r>
        <w:rPr>
          <w:rFonts w:ascii="Arial" w:eastAsia="Calibri" w:hAnsi="Arial" w:cs="Arial"/>
          <w:lang w:val="en-ZA"/>
        </w:rPr>
        <w:t>Ranamane</w:t>
      </w:r>
      <w:proofErr w:type="spellEnd"/>
      <w:r>
        <w:rPr>
          <w:rFonts w:ascii="Arial" w:eastAsia="Calibri" w:hAnsi="Arial" w:cs="Arial"/>
          <w:lang w:val="en-ZA"/>
        </w:rPr>
        <w:t xml:space="preserve"> </w:t>
      </w:r>
      <w:proofErr w:type="spellStart"/>
      <w:r>
        <w:rPr>
          <w:rFonts w:ascii="Arial" w:eastAsia="Calibri" w:hAnsi="Arial" w:cs="Arial"/>
          <w:lang w:val="en-ZA"/>
        </w:rPr>
        <w:t>Mokalane</w:t>
      </w:r>
      <w:proofErr w:type="spellEnd"/>
      <w:r>
        <w:rPr>
          <w:rFonts w:ascii="Arial" w:eastAsia="Calibri" w:hAnsi="Arial" w:cs="Arial"/>
          <w:lang w:val="en-ZA"/>
        </w:rPr>
        <w:t xml:space="preserve"> to date, amounts to R10,116,561-32.</w:t>
      </w:r>
    </w:p>
    <w:p w14:paraId="1E5F2306" w14:textId="77777777" w:rsidR="00F657BB" w:rsidRDefault="00F657BB" w:rsidP="00442438">
      <w:pPr>
        <w:pStyle w:val="ListParagraph"/>
        <w:tabs>
          <w:tab w:val="left" w:pos="1134"/>
        </w:tabs>
        <w:spacing w:after="0" w:line="360" w:lineRule="auto"/>
        <w:ind w:left="567"/>
        <w:jc w:val="both"/>
        <w:outlineLvl w:val="0"/>
        <w:rPr>
          <w:rFonts w:ascii="Arial" w:eastAsia="Calibri" w:hAnsi="Arial" w:cs="Arial"/>
          <w:lang w:val="en-ZA"/>
        </w:rPr>
      </w:pPr>
    </w:p>
    <w:p w14:paraId="42CF6DCD" w14:textId="77777777" w:rsidR="00F657BB" w:rsidRDefault="00F657BB" w:rsidP="00442438">
      <w:pPr>
        <w:pStyle w:val="ListParagraph"/>
        <w:tabs>
          <w:tab w:val="left" w:pos="1134"/>
        </w:tabs>
        <w:spacing w:after="0" w:line="360" w:lineRule="auto"/>
        <w:ind w:left="1131" w:hanging="564"/>
        <w:jc w:val="both"/>
        <w:outlineLvl w:val="0"/>
        <w:rPr>
          <w:rFonts w:ascii="Arial" w:eastAsia="Calibri" w:hAnsi="Arial" w:cs="Arial"/>
          <w:lang w:val="en-ZA"/>
        </w:rPr>
      </w:pPr>
      <w:r>
        <w:rPr>
          <w:rFonts w:ascii="Arial" w:eastAsia="Calibri" w:hAnsi="Arial" w:cs="Arial"/>
          <w:lang w:val="en-ZA"/>
        </w:rPr>
        <w:t>(e)</w:t>
      </w:r>
      <w:r>
        <w:rPr>
          <w:rFonts w:ascii="Arial" w:eastAsia="Calibri" w:hAnsi="Arial" w:cs="Arial"/>
          <w:lang w:val="en-ZA"/>
        </w:rPr>
        <w:tab/>
        <w:t>See table below.</w:t>
      </w:r>
    </w:p>
    <w:p w14:paraId="2AB43C66" w14:textId="77777777" w:rsidR="00F657BB" w:rsidRDefault="00F657BB" w:rsidP="00442438">
      <w:pPr>
        <w:pStyle w:val="ListParagraph"/>
        <w:tabs>
          <w:tab w:val="left" w:pos="1134"/>
        </w:tabs>
        <w:spacing w:after="0" w:line="360" w:lineRule="auto"/>
        <w:ind w:left="567"/>
        <w:jc w:val="both"/>
        <w:outlineLvl w:val="0"/>
        <w:rPr>
          <w:rFonts w:ascii="Arial" w:eastAsia="Calibri" w:hAnsi="Arial" w:cs="Arial"/>
          <w:lang w:val="en-ZA"/>
        </w:rPr>
      </w:pPr>
    </w:p>
    <w:p w14:paraId="50700265" w14:textId="3F55EA1B" w:rsidR="00F657BB" w:rsidRDefault="00F657BB" w:rsidP="00442438">
      <w:pPr>
        <w:pStyle w:val="ListParagraph"/>
        <w:tabs>
          <w:tab w:val="left" w:pos="1134"/>
        </w:tabs>
        <w:spacing w:after="0" w:line="360" w:lineRule="auto"/>
        <w:ind w:left="567"/>
        <w:jc w:val="both"/>
        <w:outlineLvl w:val="0"/>
        <w:rPr>
          <w:rFonts w:ascii="Arial" w:eastAsia="Calibri" w:hAnsi="Arial" w:cs="Arial"/>
          <w:lang w:val="en-ZA"/>
        </w:rPr>
      </w:pPr>
      <w:r>
        <w:rPr>
          <w:rFonts w:ascii="Arial" w:eastAsia="Calibri" w:hAnsi="Arial" w:cs="Arial"/>
          <w:lang w:val="en-ZA"/>
        </w:rPr>
        <w:t>(f)</w:t>
      </w:r>
      <w:r>
        <w:rPr>
          <w:rFonts w:ascii="Arial" w:eastAsia="Calibri" w:hAnsi="Arial" w:cs="Arial"/>
          <w:lang w:val="en-ZA"/>
        </w:rPr>
        <w:tab/>
        <w:t>See table below.</w:t>
      </w:r>
    </w:p>
    <w:p w14:paraId="5E02D943" w14:textId="77777777" w:rsidR="00442438" w:rsidRPr="00442438" w:rsidRDefault="00442438" w:rsidP="00442438">
      <w:pPr>
        <w:pStyle w:val="ListParagraph"/>
        <w:tabs>
          <w:tab w:val="left" w:pos="1134"/>
        </w:tabs>
        <w:spacing w:after="0" w:line="360" w:lineRule="auto"/>
        <w:ind w:left="567"/>
        <w:jc w:val="both"/>
        <w:outlineLvl w:val="0"/>
        <w:rPr>
          <w:rFonts w:ascii="Arial" w:eastAsia="Calibri" w:hAnsi="Arial" w:cs="Arial"/>
          <w:lang w:val="en-ZA"/>
        </w:rPr>
      </w:pPr>
    </w:p>
    <w:tbl>
      <w:tblPr>
        <w:tblStyle w:val="TableGrid"/>
        <w:tblW w:w="0" w:type="auto"/>
        <w:tblLook w:val="04A0" w:firstRow="1" w:lastRow="0" w:firstColumn="1" w:lastColumn="0" w:noHBand="0" w:noVBand="1"/>
      </w:tblPr>
      <w:tblGrid>
        <w:gridCol w:w="3205"/>
        <w:gridCol w:w="3100"/>
        <w:gridCol w:w="3045"/>
      </w:tblGrid>
      <w:tr w:rsidR="00F657BB" w14:paraId="1C01DF4C" w14:textId="77777777" w:rsidTr="00442438">
        <w:tc>
          <w:tcPr>
            <w:tcW w:w="3271" w:type="dxa"/>
          </w:tcPr>
          <w:p w14:paraId="7418AB23" w14:textId="77777777" w:rsidR="00F657BB" w:rsidRPr="00485AFD" w:rsidRDefault="00F657BB" w:rsidP="00442438">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Name of Counterparty / Nature of matter</w:t>
            </w:r>
          </w:p>
        </w:tc>
        <w:tc>
          <w:tcPr>
            <w:tcW w:w="3154" w:type="dxa"/>
          </w:tcPr>
          <w:p w14:paraId="716A64BC" w14:textId="77777777" w:rsidR="00F657BB" w:rsidRDefault="00F657BB" w:rsidP="00442438">
            <w:pPr>
              <w:spacing w:before="100" w:beforeAutospacing="1" w:after="100" w:afterAutospacing="1" w:line="360" w:lineRule="auto"/>
              <w:jc w:val="both"/>
              <w:outlineLvl w:val="0"/>
              <w:rPr>
                <w:rFonts w:ascii="Arial" w:eastAsia="Calibri" w:hAnsi="Arial" w:cs="Arial"/>
                <w:b/>
                <w:lang w:val="en-ZA"/>
              </w:rPr>
            </w:pPr>
            <w:r w:rsidRPr="00485AFD">
              <w:rPr>
                <w:rFonts w:ascii="Arial" w:eastAsia="Calibri" w:hAnsi="Arial" w:cs="Arial"/>
                <w:b/>
                <w:lang w:val="en-ZA"/>
              </w:rPr>
              <w:t>Brief synopsis of the issues in dispute</w:t>
            </w:r>
          </w:p>
          <w:p w14:paraId="19A7666D" w14:textId="77777777" w:rsidR="00F657BB" w:rsidRPr="00485AFD" w:rsidRDefault="00F657BB" w:rsidP="00442438">
            <w:pPr>
              <w:spacing w:before="100" w:beforeAutospacing="1" w:after="100" w:afterAutospacing="1" w:line="360" w:lineRule="auto"/>
              <w:jc w:val="both"/>
              <w:outlineLvl w:val="0"/>
              <w:rPr>
                <w:rFonts w:ascii="Arial" w:eastAsia="Calibri" w:hAnsi="Arial" w:cs="Arial"/>
                <w:b/>
                <w:lang w:val="en-ZA"/>
              </w:rPr>
            </w:pPr>
          </w:p>
        </w:tc>
        <w:tc>
          <w:tcPr>
            <w:tcW w:w="3113" w:type="dxa"/>
          </w:tcPr>
          <w:p w14:paraId="46112D41" w14:textId="292C9134" w:rsidR="00F657BB" w:rsidRPr="00485AFD" w:rsidRDefault="00442438" w:rsidP="00442438">
            <w:pPr>
              <w:spacing w:before="100" w:beforeAutospacing="1" w:after="100" w:afterAutospacing="1" w:line="360" w:lineRule="auto"/>
              <w:jc w:val="both"/>
              <w:outlineLvl w:val="0"/>
              <w:rPr>
                <w:rFonts w:ascii="Arial" w:eastAsia="Calibri" w:hAnsi="Arial" w:cs="Arial"/>
                <w:b/>
                <w:lang w:val="en-ZA"/>
              </w:rPr>
            </w:pPr>
            <w:r w:rsidRPr="00485AFD">
              <w:rPr>
                <w:rFonts w:ascii="Arial" w:eastAsia="Calibri" w:hAnsi="Arial" w:cs="Arial"/>
                <w:b/>
                <w:lang w:val="en-ZA"/>
              </w:rPr>
              <w:t>Status</w:t>
            </w:r>
            <w:r w:rsidR="00F657BB" w:rsidRPr="00485AFD">
              <w:rPr>
                <w:rFonts w:ascii="Arial" w:eastAsia="Calibri" w:hAnsi="Arial" w:cs="Arial"/>
                <w:b/>
                <w:lang w:val="en-ZA"/>
              </w:rPr>
              <w:t xml:space="preserve"> of the matter</w:t>
            </w:r>
          </w:p>
        </w:tc>
      </w:tr>
      <w:tr w:rsidR="00F657BB" w14:paraId="571AE6D2" w14:textId="77777777" w:rsidTr="00442438">
        <w:tc>
          <w:tcPr>
            <w:tcW w:w="3271" w:type="dxa"/>
          </w:tcPr>
          <w:p w14:paraId="0EE0216E" w14:textId="77777777" w:rsidR="00F657BB" w:rsidRDefault="00F657BB" w:rsidP="00442438">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Rail &amp; Road Assessing (“RRA”)</w:t>
            </w:r>
          </w:p>
        </w:tc>
        <w:tc>
          <w:tcPr>
            <w:tcW w:w="3154" w:type="dxa"/>
          </w:tcPr>
          <w:p w14:paraId="476F42FD" w14:textId="3AE8FE6C" w:rsidR="00F657BB" w:rsidRDefault="00F657BB" w:rsidP="00442438">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 xml:space="preserve">Claim for alleged </w:t>
            </w:r>
            <w:r w:rsidR="00442438">
              <w:rPr>
                <w:rFonts w:ascii="Arial" w:eastAsia="Calibri" w:hAnsi="Arial" w:cs="Arial"/>
                <w:lang w:val="en-ZA"/>
              </w:rPr>
              <w:t>professional services</w:t>
            </w:r>
            <w:r>
              <w:rPr>
                <w:rFonts w:ascii="Arial" w:eastAsia="Calibri" w:hAnsi="Arial" w:cs="Arial"/>
                <w:lang w:val="en-ZA"/>
              </w:rPr>
              <w:t xml:space="preserve"> rendered and not paid for in the amount of R3 466 000.00</w:t>
            </w:r>
          </w:p>
        </w:tc>
        <w:tc>
          <w:tcPr>
            <w:tcW w:w="3113" w:type="dxa"/>
          </w:tcPr>
          <w:p w14:paraId="1269CF6F" w14:textId="0905CD7C" w:rsidR="00F657BB" w:rsidRDefault="00F657BB" w:rsidP="00442438">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 xml:space="preserve">Matter currently pending before South Gauteng High Court – this matter was placed on the roll and later removed after the plaintiff (RRA) failed to produce documents that it was required to produce at the hearing of the matter and that were required to properly assess RRA’s claim. </w:t>
            </w:r>
            <w:r w:rsidR="00442438">
              <w:rPr>
                <w:rFonts w:ascii="Arial" w:eastAsia="Calibri" w:hAnsi="Arial" w:cs="Arial"/>
                <w:lang w:val="en-ZA"/>
              </w:rPr>
              <w:t>Because of</w:t>
            </w:r>
            <w:r>
              <w:rPr>
                <w:rFonts w:ascii="Arial" w:eastAsia="Calibri" w:hAnsi="Arial" w:cs="Arial"/>
                <w:lang w:val="en-ZA"/>
              </w:rPr>
              <w:t xml:space="preserve"> this failure, the matter was removed from the roll.</w:t>
            </w:r>
          </w:p>
          <w:p w14:paraId="0047A1E8" w14:textId="77777777" w:rsidR="00F657BB" w:rsidRDefault="00F657BB" w:rsidP="00442438">
            <w:pPr>
              <w:spacing w:before="100" w:beforeAutospacing="1" w:after="100" w:afterAutospacing="1" w:line="360" w:lineRule="auto"/>
              <w:jc w:val="both"/>
              <w:outlineLvl w:val="0"/>
              <w:rPr>
                <w:rFonts w:ascii="Arial" w:eastAsia="Calibri" w:hAnsi="Arial" w:cs="Arial"/>
                <w:lang w:val="en-ZA"/>
              </w:rPr>
            </w:pPr>
          </w:p>
        </w:tc>
      </w:tr>
      <w:tr w:rsidR="00F657BB" w14:paraId="49DA8EF0" w14:textId="77777777" w:rsidTr="00442438">
        <w:tc>
          <w:tcPr>
            <w:tcW w:w="3271" w:type="dxa"/>
          </w:tcPr>
          <w:p w14:paraId="3E15E034" w14:textId="77777777" w:rsidR="00F657BB" w:rsidRDefault="00F657BB" w:rsidP="00442438">
            <w:pPr>
              <w:spacing w:before="100" w:beforeAutospacing="1" w:after="100" w:afterAutospacing="1" w:line="360" w:lineRule="auto"/>
              <w:jc w:val="both"/>
              <w:outlineLvl w:val="0"/>
              <w:rPr>
                <w:rFonts w:ascii="Arial" w:eastAsia="Calibri" w:hAnsi="Arial" w:cs="Arial"/>
                <w:lang w:val="en-ZA"/>
              </w:rPr>
            </w:pPr>
            <w:proofErr w:type="spellStart"/>
            <w:r>
              <w:rPr>
                <w:rFonts w:ascii="Arial" w:eastAsia="Calibri" w:hAnsi="Arial" w:cs="Arial"/>
                <w:lang w:val="en-ZA"/>
              </w:rPr>
              <w:t>Mukoma</w:t>
            </w:r>
            <w:proofErr w:type="spellEnd"/>
            <w:r>
              <w:rPr>
                <w:rFonts w:ascii="Arial" w:eastAsia="Calibri" w:hAnsi="Arial" w:cs="Arial"/>
                <w:lang w:val="en-ZA"/>
              </w:rPr>
              <w:t xml:space="preserve"> Technologies (“MT”) </w:t>
            </w:r>
          </w:p>
        </w:tc>
        <w:tc>
          <w:tcPr>
            <w:tcW w:w="3154" w:type="dxa"/>
          </w:tcPr>
          <w:p w14:paraId="684711EA" w14:textId="7E8307D2" w:rsidR="00F657BB" w:rsidRDefault="00F657BB" w:rsidP="00442438">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 xml:space="preserve">MT was engaged to repair, service, maintain and </w:t>
            </w:r>
            <w:r w:rsidR="00442438">
              <w:rPr>
                <w:rFonts w:ascii="Arial" w:eastAsia="Calibri" w:hAnsi="Arial" w:cs="Arial"/>
                <w:lang w:val="en-ZA"/>
              </w:rPr>
              <w:t>install</w:t>
            </w:r>
            <w:r>
              <w:rPr>
                <w:rFonts w:ascii="Arial" w:eastAsia="Calibri" w:hAnsi="Arial" w:cs="Arial"/>
                <w:lang w:val="en-ZA"/>
              </w:rPr>
              <w:t xml:space="preserve"> CCTV cameras at various train stations on an as-and-</w:t>
            </w:r>
            <w:r>
              <w:rPr>
                <w:rFonts w:ascii="Arial" w:eastAsia="Calibri" w:hAnsi="Arial" w:cs="Arial"/>
                <w:lang w:val="en-ZA"/>
              </w:rPr>
              <w:lastRenderedPageBreak/>
              <w:t>when basis.  MT has claimed for loss of earnings in the amount of R27 353 474.90</w:t>
            </w:r>
          </w:p>
        </w:tc>
        <w:tc>
          <w:tcPr>
            <w:tcW w:w="3113" w:type="dxa"/>
          </w:tcPr>
          <w:p w14:paraId="098734D9" w14:textId="7DF1514A" w:rsidR="00F657BB" w:rsidRDefault="00F657BB" w:rsidP="00442438">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lastRenderedPageBreak/>
              <w:t xml:space="preserve">The court of first instance found against MT and granted leave to appeal to the full bench. The full bench </w:t>
            </w:r>
            <w:r>
              <w:rPr>
                <w:rFonts w:ascii="Arial" w:eastAsia="Calibri" w:hAnsi="Arial" w:cs="Arial"/>
                <w:lang w:val="en-ZA"/>
              </w:rPr>
              <w:lastRenderedPageBreak/>
              <w:t xml:space="preserve">denied the appeal. The </w:t>
            </w:r>
            <w:r w:rsidR="00442438">
              <w:rPr>
                <w:rFonts w:ascii="Arial" w:eastAsia="Calibri" w:hAnsi="Arial" w:cs="Arial"/>
                <w:lang w:val="en-ZA"/>
              </w:rPr>
              <w:t>application</w:t>
            </w:r>
            <w:r>
              <w:rPr>
                <w:rFonts w:ascii="Arial" w:eastAsia="Calibri" w:hAnsi="Arial" w:cs="Arial"/>
                <w:lang w:val="en-ZA"/>
              </w:rPr>
              <w:t xml:space="preserve"> for leave to appeal is currently before the Supreme Court of Appeal.</w:t>
            </w:r>
          </w:p>
          <w:p w14:paraId="23031F75" w14:textId="77777777" w:rsidR="00F657BB" w:rsidRDefault="00F657BB" w:rsidP="00442438">
            <w:pPr>
              <w:spacing w:before="100" w:beforeAutospacing="1" w:after="100" w:afterAutospacing="1" w:line="360" w:lineRule="auto"/>
              <w:jc w:val="both"/>
              <w:outlineLvl w:val="0"/>
              <w:rPr>
                <w:rFonts w:ascii="Arial" w:eastAsia="Calibri" w:hAnsi="Arial" w:cs="Arial"/>
                <w:lang w:val="en-ZA"/>
              </w:rPr>
            </w:pPr>
          </w:p>
        </w:tc>
      </w:tr>
      <w:tr w:rsidR="00F657BB" w14:paraId="78938272" w14:textId="77777777" w:rsidTr="00442438">
        <w:tc>
          <w:tcPr>
            <w:tcW w:w="3271" w:type="dxa"/>
          </w:tcPr>
          <w:p w14:paraId="60AA794F" w14:textId="77777777" w:rsidR="00F657BB" w:rsidRDefault="00F657BB" w:rsidP="00442438">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lastRenderedPageBreak/>
              <w:t>Department of Public Works</w:t>
            </w:r>
          </w:p>
        </w:tc>
        <w:tc>
          <w:tcPr>
            <w:tcW w:w="3154" w:type="dxa"/>
          </w:tcPr>
          <w:p w14:paraId="06FCA9AA" w14:textId="77777777" w:rsidR="00F657BB" w:rsidRDefault="00F657BB" w:rsidP="00442438">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PRASA is the plaintiff in this matter and it relates to services rendered to the Department of Public Works. PRASA is claiming R24mil</w:t>
            </w:r>
          </w:p>
          <w:p w14:paraId="260589B2" w14:textId="77777777" w:rsidR="00F657BB" w:rsidRDefault="00F657BB" w:rsidP="00442438">
            <w:pPr>
              <w:spacing w:before="100" w:beforeAutospacing="1" w:after="100" w:afterAutospacing="1" w:line="360" w:lineRule="auto"/>
              <w:jc w:val="both"/>
              <w:outlineLvl w:val="0"/>
              <w:rPr>
                <w:rFonts w:ascii="Arial" w:eastAsia="Calibri" w:hAnsi="Arial" w:cs="Arial"/>
                <w:lang w:val="en-ZA"/>
              </w:rPr>
            </w:pPr>
          </w:p>
        </w:tc>
        <w:tc>
          <w:tcPr>
            <w:tcW w:w="3113" w:type="dxa"/>
          </w:tcPr>
          <w:p w14:paraId="3D802836" w14:textId="77777777" w:rsidR="00F657BB" w:rsidRDefault="00F657BB" w:rsidP="00442438">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Matter currently pending before the South Gauteng High Court and the parties are engaging in settlement negotiations</w:t>
            </w:r>
          </w:p>
        </w:tc>
      </w:tr>
      <w:tr w:rsidR="00F657BB" w14:paraId="3FAA526E" w14:textId="77777777" w:rsidTr="00442438">
        <w:tc>
          <w:tcPr>
            <w:tcW w:w="3271" w:type="dxa"/>
          </w:tcPr>
          <w:p w14:paraId="4E003FA8" w14:textId="77777777" w:rsidR="00F657BB" w:rsidRDefault="00F657BB" w:rsidP="00442438">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Internal disciplinary hearing for employees alleged to have been engaged in jobs-for-sale</w:t>
            </w:r>
          </w:p>
        </w:tc>
        <w:tc>
          <w:tcPr>
            <w:tcW w:w="3154" w:type="dxa"/>
          </w:tcPr>
          <w:p w14:paraId="7A96EDC3" w14:textId="77777777" w:rsidR="00F657BB" w:rsidRDefault="00F657BB" w:rsidP="00442438">
            <w:pPr>
              <w:spacing w:before="100" w:beforeAutospacing="1" w:after="100" w:afterAutospacing="1" w:line="360" w:lineRule="auto"/>
              <w:jc w:val="both"/>
              <w:outlineLvl w:val="0"/>
              <w:rPr>
                <w:rFonts w:ascii="Arial" w:eastAsia="Calibri" w:hAnsi="Arial" w:cs="Arial"/>
                <w:lang w:val="en-ZA"/>
              </w:rPr>
            </w:pPr>
            <w:proofErr w:type="spellStart"/>
            <w:r>
              <w:rPr>
                <w:rFonts w:ascii="Arial" w:eastAsia="Calibri" w:hAnsi="Arial" w:cs="Arial"/>
                <w:lang w:val="en-ZA"/>
              </w:rPr>
              <w:t>Ranamane</w:t>
            </w:r>
            <w:proofErr w:type="spellEnd"/>
            <w:r>
              <w:rPr>
                <w:rFonts w:ascii="Arial" w:eastAsia="Calibri" w:hAnsi="Arial" w:cs="Arial"/>
                <w:lang w:val="en-ZA"/>
              </w:rPr>
              <w:t xml:space="preserve"> </w:t>
            </w:r>
            <w:proofErr w:type="spellStart"/>
            <w:r>
              <w:rPr>
                <w:rFonts w:ascii="Arial" w:eastAsia="Calibri" w:hAnsi="Arial" w:cs="Arial"/>
                <w:lang w:val="en-ZA"/>
              </w:rPr>
              <w:t>Mokalane</w:t>
            </w:r>
            <w:proofErr w:type="spellEnd"/>
            <w:r>
              <w:rPr>
                <w:rFonts w:ascii="Arial" w:eastAsia="Calibri" w:hAnsi="Arial" w:cs="Arial"/>
                <w:lang w:val="en-ZA"/>
              </w:rPr>
              <w:t xml:space="preserve"> Attorneys are acting as initiators in these proceedings</w:t>
            </w:r>
          </w:p>
        </w:tc>
        <w:tc>
          <w:tcPr>
            <w:tcW w:w="3113" w:type="dxa"/>
          </w:tcPr>
          <w:p w14:paraId="0B2C5AF6" w14:textId="77777777" w:rsidR="00F657BB" w:rsidRDefault="00F657BB" w:rsidP="00442438">
            <w:pPr>
              <w:spacing w:before="100" w:beforeAutospacing="1" w:after="100" w:afterAutospacing="1" w:line="360" w:lineRule="auto"/>
              <w:jc w:val="both"/>
              <w:outlineLvl w:val="0"/>
              <w:rPr>
                <w:rFonts w:ascii="Arial" w:eastAsia="Calibri" w:hAnsi="Arial" w:cs="Arial"/>
                <w:lang w:val="en-ZA"/>
              </w:rPr>
            </w:pPr>
            <w:r>
              <w:rPr>
                <w:rFonts w:ascii="Arial" w:eastAsia="Calibri" w:hAnsi="Arial" w:cs="Arial"/>
                <w:lang w:val="en-ZA"/>
              </w:rPr>
              <w:t>Two of the matters have been finalised. Three other matters are nearing finalisation</w:t>
            </w:r>
          </w:p>
        </w:tc>
      </w:tr>
    </w:tbl>
    <w:p w14:paraId="04290F3F" w14:textId="77777777" w:rsidR="00F657BB" w:rsidRDefault="00F657BB" w:rsidP="00F657BB">
      <w:pPr>
        <w:pStyle w:val="ListParagraph"/>
        <w:tabs>
          <w:tab w:val="left" w:pos="1134"/>
        </w:tabs>
        <w:spacing w:after="0" w:line="240" w:lineRule="auto"/>
        <w:ind w:left="567"/>
        <w:jc w:val="both"/>
        <w:outlineLvl w:val="0"/>
        <w:rPr>
          <w:rFonts w:ascii="Arial" w:eastAsia="Calibri" w:hAnsi="Arial" w:cs="Arial"/>
          <w:lang w:val="en-ZA"/>
        </w:rPr>
      </w:pPr>
    </w:p>
    <w:p w14:paraId="363A89BA" w14:textId="77777777" w:rsidR="00F657BB" w:rsidRDefault="00F657BB" w:rsidP="00442438">
      <w:pPr>
        <w:pStyle w:val="ListParagraph"/>
        <w:numPr>
          <w:ilvl w:val="0"/>
          <w:numId w:val="9"/>
        </w:numPr>
        <w:spacing w:after="0" w:line="360" w:lineRule="auto"/>
        <w:ind w:left="567" w:hanging="567"/>
        <w:jc w:val="both"/>
        <w:outlineLvl w:val="0"/>
        <w:rPr>
          <w:rFonts w:ascii="Arial" w:eastAsia="Calibri" w:hAnsi="Arial" w:cs="Arial"/>
          <w:lang w:val="en-ZA"/>
        </w:rPr>
      </w:pPr>
      <w:r>
        <w:rPr>
          <w:rFonts w:ascii="Arial" w:eastAsia="Calibri" w:hAnsi="Arial" w:cs="Arial"/>
          <w:lang w:val="en-ZA"/>
        </w:rPr>
        <w:t>One of the requirements for attorneys to be placed on the PRASA panel of lawyers is a fidelity fund certificate issued by the relevant office of the law society.  In this case, the firm had a fidelity fund certificate at the time of appointment.</w:t>
      </w:r>
    </w:p>
    <w:p w14:paraId="7EC273FE" w14:textId="77777777" w:rsidR="00F657BB" w:rsidRDefault="00F657BB" w:rsidP="00442438">
      <w:pPr>
        <w:pStyle w:val="ListParagraph"/>
        <w:spacing w:after="0" w:line="360" w:lineRule="auto"/>
        <w:ind w:left="567"/>
        <w:jc w:val="both"/>
        <w:outlineLvl w:val="0"/>
        <w:rPr>
          <w:rFonts w:ascii="Arial" w:eastAsia="Calibri" w:hAnsi="Arial" w:cs="Arial"/>
          <w:lang w:val="en-ZA"/>
        </w:rPr>
      </w:pPr>
    </w:p>
    <w:p w14:paraId="04E8C5CC" w14:textId="77777777" w:rsidR="00F657BB" w:rsidRDefault="00F657BB" w:rsidP="00442438">
      <w:pPr>
        <w:pStyle w:val="ListParagraph"/>
        <w:numPr>
          <w:ilvl w:val="0"/>
          <w:numId w:val="9"/>
        </w:numPr>
        <w:spacing w:after="0" w:line="360" w:lineRule="auto"/>
        <w:ind w:left="567" w:hanging="567"/>
        <w:jc w:val="both"/>
        <w:outlineLvl w:val="0"/>
        <w:rPr>
          <w:rFonts w:ascii="Arial" w:eastAsia="Calibri" w:hAnsi="Arial" w:cs="Arial"/>
          <w:lang w:val="en-ZA"/>
        </w:rPr>
      </w:pPr>
      <w:r>
        <w:rPr>
          <w:rFonts w:ascii="Arial" w:eastAsia="Calibri" w:hAnsi="Arial" w:cs="Arial"/>
          <w:lang w:val="en-ZA"/>
        </w:rPr>
        <w:t>Refer to (2) above.</w:t>
      </w:r>
    </w:p>
    <w:p w14:paraId="70F8D396" w14:textId="77777777" w:rsidR="00F657BB" w:rsidRPr="001B188F" w:rsidRDefault="00F657BB" w:rsidP="00442438">
      <w:pPr>
        <w:pStyle w:val="ListParagraph"/>
        <w:spacing w:line="360" w:lineRule="auto"/>
        <w:jc w:val="both"/>
        <w:rPr>
          <w:rFonts w:ascii="Arial" w:eastAsia="Calibri" w:hAnsi="Arial" w:cs="Arial"/>
          <w:lang w:val="en-ZA"/>
        </w:rPr>
      </w:pPr>
    </w:p>
    <w:p w14:paraId="14DA0F57" w14:textId="77777777" w:rsidR="00F657BB" w:rsidRPr="00D10717" w:rsidRDefault="00F657BB" w:rsidP="00442438">
      <w:pPr>
        <w:pStyle w:val="ListParagraph"/>
        <w:numPr>
          <w:ilvl w:val="0"/>
          <w:numId w:val="9"/>
        </w:numPr>
        <w:spacing w:after="0" w:line="360" w:lineRule="auto"/>
        <w:ind w:left="567" w:hanging="567"/>
        <w:jc w:val="both"/>
        <w:outlineLvl w:val="0"/>
        <w:rPr>
          <w:rFonts w:ascii="Arial" w:eastAsia="Calibri" w:hAnsi="Arial" w:cs="Arial"/>
          <w:lang w:val="en-ZA"/>
        </w:rPr>
      </w:pPr>
      <w:r w:rsidRPr="00D10717">
        <w:rPr>
          <w:rFonts w:ascii="Arial" w:eastAsia="Calibri" w:hAnsi="Arial" w:cs="Arial"/>
          <w:lang w:val="en-ZA"/>
        </w:rPr>
        <w:t xml:space="preserve">PRASA is still represented by </w:t>
      </w:r>
      <w:proofErr w:type="spellStart"/>
      <w:r w:rsidRPr="00D10717">
        <w:rPr>
          <w:rFonts w:ascii="Arial" w:eastAsia="Calibri" w:hAnsi="Arial" w:cs="Arial"/>
          <w:lang w:val="en-ZA"/>
        </w:rPr>
        <w:t>Ranamane</w:t>
      </w:r>
      <w:proofErr w:type="spellEnd"/>
      <w:r w:rsidRPr="00D10717">
        <w:rPr>
          <w:rFonts w:ascii="Arial" w:eastAsia="Calibri" w:hAnsi="Arial" w:cs="Arial"/>
          <w:lang w:val="en-ZA"/>
        </w:rPr>
        <w:t xml:space="preserve"> </w:t>
      </w:r>
      <w:proofErr w:type="spellStart"/>
      <w:r w:rsidRPr="00D10717">
        <w:rPr>
          <w:rFonts w:ascii="Arial" w:eastAsia="Calibri" w:hAnsi="Arial" w:cs="Arial"/>
          <w:lang w:val="en-ZA"/>
        </w:rPr>
        <w:t>Mokalane</w:t>
      </w:r>
      <w:proofErr w:type="spellEnd"/>
      <w:r w:rsidRPr="00D10717">
        <w:rPr>
          <w:rFonts w:ascii="Arial" w:eastAsia="Calibri" w:hAnsi="Arial" w:cs="Arial"/>
          <w:lang w:val="en-ZA"/>
        </w:rPr>
        <w:t xml:space="preserve"> Attorneys and the attorney working on the matters is Mr </w:t>
      </w:r>
      <w:proofErr w:type="spellStart"/>
      <w:r w:rsidRPr="00D10717">
        <w:rPr>
          <w:rFonts w:ascii="Arial" w:eastAsia="Calibri" w:hAnsi="Arial" w:cs="Arial"/>
          <w:lang w:val="en-ZA"/>
        </w:rPr>
        <w:t>Grayne</w:t>
      </w:r>
      <w:proofErr w:type="spellEnd"/>
      <w:r w:rsidRPr="00D10717">
        <w:rPr>
          <w:rFonts w:ascii="Arial" w:eastAsia="Calibri" w:hAnsi="Arial" w:cs="Arial"/>
          <w:lang w:val="en-ZA"/>
        </w:rPr>
        <w:t xml:space="preserve"> </w:t>
      </w:r>
      <w:proofErr w:type="spellStart"/>
      <w:r w:rsidRPr="00D10717">
        <w:rPr>
          <w:rFonts w:ascii="Arial" w:eastAsia="Calibri" w:hAnsi="Arial" w:cs="Arial"/>
          <w:lang w:val="en-ZA"/>
        </w:rPr>
        <w:t>Sekhasimbe</w:t>
      </w:r>
      <w:proofErr w:type="spellEnd"/>
      <w:r w:rsidRPr="00D10717">
        <w:rPr>
          <w:rFonts w:ascii="Arial" w:eastAsia="Calibri" w:hAnsi="Arial" w:cs="Arial"/>
          <w:lang w:val="en-ZA"/>
        </w:rPr>
        <w:t>.  On 12 March 2019, PRASA learned that a criminal charge of fraud has bee</w:t>
      </w:r>
      <w:bookmarkStart w:id="0" w:name="_GoBack"/>
      <w:bookmarkEnd w:id="0"/>
      <w:r w:rsidRPr="00D10717">
        <w:rPr>
          <w:rFonts w:ascii="Arial" w:eastAsia="Calibri" w:hAnsi="Arial" w:cs="Arial"/>
          <w:lang w:val="en-ZA"/>
        </w:rPr>
        <w:t xml:space="preserve">n laid against Mr </w:t>
      </w:r>
      <w:proofErr w:type="spellStart"/>
      <w:r w:rsidRPr="00D10717">
        <w:rPr>
          <w:rFonts w:ascii="Arial" w:eastAsia="Calibri" w:hAnsi="Arial" w:cs="Arial"/>
          <w:lang w:val="en-ZA"/>
        </w:rPr>
        <w:t>Grayne</w:t>
      </w:r>
      <w:proofErr w:type="spellEnd"/>
      <w:r w:rsidRPr="00D10717">
        <w:rPr>
          <w:rFonts w:ascii="Arial" w:eastAsia="Calibri" w:hAnsi="Arial" w:cs="Arial"/>
          <w:lang w:val="en-ZA"/>
        </w:rPr>
        <w:t xml:space="preserve"> </w:t>
      </w:r>
      <w:proofErr w:type="spellStart"/>
      <w:r w:rsidRPr="00D10717">
        <w:rPr>
          <w:rFonts w:ascii="Arial" w:eastAsia="Calibri" w:hAnsi="Arial" w:cs="Arial"/>
          <w:lang w:val="en-ZA"/>
        </w:rPr>
        <w:t>Sekhasimbe</w:t>
      </w:r>
      <w:proofErr w:type="spellEnd"/>
      <w:r w:rsidRPr="00D10717">
        <w:rPr>
          <w:rFonts w:ascii="Arial" w:eastAsia="Calibri" w:hAnsi="Arial" w:cs="Arial"/>
          <w:lang w:val="en-ZA"/>
        </w:rPr>
        <w:t xml:space="preserve">.  This is viewed in a serious light by PRASA.  PRASA has started engagements with the necessary persons, including the investigating officer in the case to ensure that PRASA’s rights are not imperilled.  PRASA will take a decision on the relationship with </w:t>
      </w:r>
      <w:proofErr w:type="spellStart"/>
      <w:r w:rsidRPr="00D10717">
        <w:rPr>
          <w:rFonts w:ascii="Arial" w:eastAsia="Calibri" w:hAnsi="Arial" w:cs="Arial"/>
          <w:lang w:val="en-ZA"/>
        </w:rPr>
        <w:t>Ranamane</w:t>
      </w:r>
      <w:proofErr w:type="spellEnd"/>
      <w:r w:rsidRPr="00D10717">
        <w:rPr>
          <w:rFonts w:ascii="Arial" w:eastAsia="Calibri" w:hAnsi="Arial" w:cs="Arial"/>
          <w:lang w:val="en-ZA"/>
        </w:rPr>
        <w:t xml:space="preserve"> </w:t>
      </w:r>
      <w:proofErr w:type="spellStart"/>
      <w:r w:rsidRPr="00D10717">
        <w:rPr>
          <w:rFonts w:ascii="Arial" w:eastAsia="Calibri" w:hAnsi="Arial" w:cs="Arial"/>
          <w:lang w:val="en-ZA"/>
        </w:rPr>
        <w:t>Mokalane</w:t>
      </w:r>
      <w:proofErr w:type="spellEnd"/>
      <w:r w:rsidRPr="00D10717">
        <w:rPr>
          <w:rFonts w:ascii="Arial" w:eastAsia="Calibri" w:hAnsi="Arial" w:cs="Arial"/>
          <w:lang w:val="en-ZA"/>
        </w:rPr>
        <w:t xml:space="preserve"> Attorneys and Mr </w:t>
      </w:r>
      <w:proofErr w:type="spellStart"/>
      <w:r w:rsidRPr="00D10717">
        <w:rPr>
          <w:rFonts w:ascii="Arial" w:eastAsia="Calibri" w:hAnsi="Arial" w:cs="Arial"/>
          <w:lang w:val="en-ZA"/>
        </w:rPr>
        <w:t>Grayne</w:t>
      </w:r>
      <w:proofErr w:type="spellEnd"/>
      <w:r w:rsidRPr="00D10717">
        <w:rPr>
          <w:rFonts w:ascii="Arial" w:eastAsia="Calibri" w:hAnsi="Arial" w:cs="Arial"/>
          <w:lang w:val="en-ZA"/>
        </w:rPr>
        <w:t xml:space="preserve"> </w:t>
      </w:r>
      <w:proofErr w:type="spellStart"/>
      <w:r w:rsidRPr="00D10717">
        <w:rPr>
          <w:rFonts w:ascii="Arial" w:eastAsia="Calibri" w:hAnsi="Arial" w:cs="Arial"/>
          <w:lang w:val="en-ZA"/>
        </w:rPr>
        <w:t>Sekhasimbe</w:t>
      </w:r>
      <w:proofErr w:type="spellEnd"/>
      <w:r w:rsidRPr="00D10717">
        <w:rPr>
          <w:rFonts w:ascii="Arial" w:eastAsia="Calibri" w:hAnsi="Arial" w:cs="Arial"/>
          <w:lang w:val="en-ZA"/>
        </w:rPr>
        <w:t xml:space="preserve"> by 20 March 2019.</w:t>
      </w:r>
    </w:p>
    <w:p w14:paraId="76C43CEC" w14:textId="405F045D" w:rsidR="001068D0" w:rsidRPr="000653BA" w:rsidRDefault="001068D0" w:rsidP="000653BA"/>
    <w:sectPr w:rsidR="001068D0" w:rsidRPr="000653BA"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39878" w14:textId="77777777" w:rsidR="00B149A0" w:rsidRDefault="00B149A0" w:rsidP="00DB1508">
      <w:pPr>
        <w:spacing w:after="0" w:line="240" w:lineRule="auto"/>
      </w:pPr>
      <w:r>
        <w:separator/>
      </w:r>
    </w:p>
  </w:endnote>
  <w:endnote w:type="continuationSeparator" w:id="0">
    <w:p w14:paraId="3351EDB7" w14:textId="77777777" w:rsidR="00B149A0" w:rsidRDefault="00B149A0"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102ED" w14:textId="77777777" w:rsidR="00B149A0" w:rsidRDefault="00B149A0" w:rsidP="00DB1508">
      <w:pPr>
        <w:spacing w:after="0" w:line="240" w:lineRule="auto"/>
      </w:pPr>
      <w:r>
        <w:separator/>
      </w:r>
    </w:p>
  </w:footnote>
  <w:footnote w:type="continuationSeparator" w:id="0">
    <w:p w14:paraId="32707395" w14:textId="77777777" w:rsidR="00B149A0" w:rsidRDefault="00B149A0"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723AA"/>
    <w:multiLevelType w:val="hybridMultilevel"/>
    <w:tmpl w:val="1408D012"/>
    <w:lvl w:ilvl="0" w:tplc="D5F820D0">
      <w:start w:val="1"/>
      <w:numFmt w:val="lowerRoman"/>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6845D23"/>
    <w:multiLevelType w:val="hybridMultilevel"/>
    <w:tmpl w:val="ECEA5442"/>
    <w:lvl w:ilvl="0" w:tplc="94F646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4294B"/>
    <w:multiLevelType w:val="hybridMultilevel"/>
    <w:tmpl w:val="6632E316"/>
    <w:lvl w:ilvl="0" w:tplc="82DCD49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33A1753"/>
    <w:multiLevelType w:val="hybridMultilevel"/>
    <w:tmpl w:val="5EB6EC1A"/>
    <w:lvl w:ilvl="0" w:tplc="C25CD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11828"/>
    <w:multiLevelType w:val="hybridMultilevel"/>
    <w:tmpl w:val="625E4302"/>
    <w:lvl w:ilvl="0" w:tplc="9D20736C">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3"/>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3BA"/>
    <w:rsid w:val="000653CE"/>
    <w:rsid w:val="00065792"/>
    <w:rsid w:val="00066E6C"/>
    <w:rsid w:val="000773B2"/>
    <w:rsid w:val="00080CA6"/>
    <w:rsid w:val="00082A4E"/>
    <w:rsid w:val="000855CA"/>
    <w:rsid w:val="0009500E"/>
    <w:rsid w:val="00095CFC"/>
    <w:rsid w:val="000A0DBF"/>
    <w:rsid w:val="000A2AA1"/>
    <w:rsid w:val="000A6CC8"/>
    <w:rsid w:val="000B01FF"/>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B5D03"/>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424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2FA7"/>
    <w:rsid w:val="006C5AC9"/>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49A0"/>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AC3"/>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00B3"/>
    <w:rsid w:val="00E24CB8"/>
    <w:rsid w:val="00E26225"/>
    <w:rsid w:val="00E276D5"/>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57BB"/>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A736E-0E6E-448F-B7CE-4B8AEAB9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2019-03-28T12:36:00Z</dcterms:created>
  <dcterms:modified xsi:type="dcterms:W3CDTF">2019-03-28T12:39:00Z</dcterms:modified>
</cp:coreProperties>
</file>