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0F7FBF">
      <w:pPr>
        <w:spacing w:before="100" w:beforeAutospacing="1" w:after="100" w:afterAutospacing="1"/>
        <w:ind w:left="720" w:hanging="720"/>
        <w:jc w:val="center"/>
        <w:outlineLvl w:val="0"/>
        <w:rPr>
          <w:rFonts w:ascii="Calibri" w:hAnsi="Calibri"/>
          <w:b/>
          <w:lang w:val="en-ZA"/>
        </w:rPr>
      </w:pPr>
      <w:r>
        <w:rPr>
          <w:noProof/>
          <w:lang w:val="en-ZA"/>
        </w:rPr>
        <w:drawing>
          <wp:inline distT="0" distB="0" distL="0" distR="0">
            <wp:extent cx="952500" cy="981075"/>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Pr="004C7138" w:rsidRDefault="00B07515">
      <w:pPr>
        <w:spacing w:line="360" w:lineRule="auto"/>
        <w:jc w:val="center"/>
        <w:rPr>
          <w:rFonts w:ascii="Arial" w:hAnsi="Arial" w:cs="Arial"/>
          <w:b/>
          <w:bCs/>
          <w:color w:val="000000"/>
          <w:sz w:val="20"/>
          <w:szCs w:val="20"/>
          <w:lang w:val="en-GB"/>
        </w:rPr>
      </w:pPr>
    </w:p>
    <w:p w:rsidR="00B07515" w:rsidRPr="004C7138" w:rsidRDefault="00B07515">
      <w:pPr>
        <w:spacing w:line="360" w:lineRule="auto"/>
        <w:jc w:val="center"/>
        <w:rPr>
          <w:rFonts w:ascii="Arial" w:hAnsi="Arial" w:cs="Arial"/>
          <w:b/>
          <w:bCs/>
          <w:color w:val="000000"/>
          <w:sz w:val="20"/>
          <w:szCs w:val="20"/>
          <w:lang w:val="en-GB"/>
        </w:rPr>
      </w:pPr>
      <w:bookmarkStart w:id="0" w:name="_Hlk74308943"/>
      <w:r w:rsidRPr="004C7138">
        <w:rPr>
          <w:rFonts w:ascii="Arial" w:hAnsi="Arial" w:cs="Arial"/>
          <w:b/>
          <w:bCs/>
          <w:color w:val="000000"/>
          <w:sz w:val="20"/>
          <w:szCs w:val="20"/>
          <w:lang w:val="en-GB"/>
        </w:rPr>
        <w:t>NATIONAL ASSEMBLY</w:t>
      </w:r>
    </w:p>
    <w:p w:rsidR="00B07515" w:rsidRPr="004C7138" w:rsidRDefault="005B508E">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w:t>
      </w:r>
      <w:r w:rsidR="00B07515" w:rsidRPr="004C7138">
        <w:rPr>
          <w:rFonts w:ascii="Arial" w:hAnsi="Arial" w:cs="Arial"/>
          <w:b/>
          <w:bCs/>
          <w:color w:val="000000"/>
          <w:sz w:val="20"/>
          <w:szCs w:val="20"/>
          <w:lang w:val="en-GB"/>
        </w:rPr>
        <w:t xml:space="preserve"> FOR WRITTEN REPLY</w:t>
      </w:r>
    </w:p>
    <w:p w:rsidR="00B07515" w:rsidRPr="004C7138" w:rsidRDefault="00B07515">
      <w:pPr>
        <w:spacing w:line="360" w:lineRule="auto"/>
        <w:jc w:val="center"/>
        <w:rPr>
          <w:rFonts w:ascii="Arial" w:hAnsi="Arial" w:cs="Arial"/>
          <w:b/>
          <w:bCs/>
          <w:sz w:val="20"/>
          <w:szCs w:val="20"/>
          <w:lang w:val="en-GB"/>
        </w:rPr>
      </w:pPr>
      <w:r w:rsidRPr="004C7138">
        <w:rPr>
          <w:rFonts w:ascii="Arial" w:hAnsi="Arial" w:cs="Arial"/>
          <w:b/>
          <w:bCs/>
          <w:sz w:val="20"/>
          <w:szCs w:val="20"/>
          <w:lang w:val="en-GB"/>
        </w:rPr>
        <w:t>QUE</w:t>
      </w:r>
      <w:r w:rsidR="00AD2F56" w:rsidRPr="004C7138">
        <w:rPr>
          <w:rFonts w:ascii="Arial" w:hAnsi="Arial" w:cs="Arial"/>
          <w:b/>
          <w:bCs/>
          <w:sz w:val="20"/>
          <w:szCs w:val="20"/>
          <w:lang w:val="en-GB"/>
        </w:rPr>
        <w:t xml:space="preserve">STION NUMBER </w:t>
      </w:r>
      <w:r w:rsidR="005653C9">
        <w:rPr>
          <w:rFonts w:ascii="Arial" w:hAnsi="Arial" w:cs="Arial"/>
          <w:b/>
          <w:bCs/>
          <w:sz w:val="20"/>
          <w:szCs w:val="20"/>
          <w:lang w:val="en-GB"/>
        </w:rPr>
        <w:t>181</w:t>
      </w:r>
    </w:p>
    <w:p w:rsidR="00B07515" w:rsidRPr="004C7138" w:rsidRDefault="00AD2F56">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sidR="00EA5EAB">
        <w:rPr>
          <w:rFonts w:ascii="Arial" w:hAnsi="Arial" w:cs="Arial"/>
          <w:b/>
          <w:bCs/>
          <w:sz w:val="20"/>
          <w:szCs w:val="20"/>
        </w:rPr>
        <w:t xml:space="preserve">10 </w:t>
      </w:r>
      <w:r w:rsidR="00807D9C">
        <w:rPr>
          <w:rFonts w:ascii="Arial" w:hAnsi="Arial" w:cs="Arial"/>
          <w:b/>
          <w:bCs/>
          <w:sz w:val="20"/>
          <w:szCs w:val="20"/>
        </w:rPr>
        <w:t xml:space="preserve">FEBRUARY </w:t>
      </w:r>
      <w:r w:rsidR="00344792" w:rsidRPr="004C7138">
        <w:rPr>
          <w:rFonts w:ascii="Arial" w:hAnsi="Arial" w:cs="Arial"/>
          <w:b/>
          <w:bCs/>
          <w:sz w:val="20"/>
          <w:szCs w:val="20"/>
        </w:rPr>
        <w:t>202</w:t>
      </w:r>
      <w:r w:rsidR="0058260B">
        <w:rPr>
          <w:rFonts w:ascii="Arial" w:hAnsi="Arial" w:cs="Arial"/>
          <w:b/>
          <w:bCs/>
          <w:sz w:val="20"/>
          <w:szCs w:val="20"/>
        </w:rPr>
        <w:t>2</w:t>
      </w:r>
    </w:p>
    <w:bookmarkEnd w:id="0"/>
    <w:p w:rsidR="007244D1" w:rsidRPr="00F8481F" w:rsidRDefault="007244D1" w:rsidP="005653C9">
      <w:pPr>
        <w:ind w:left="1170" w:hanging="709"/>
        <w:jc w:val="both"/>
        <w:rPr>
          <w:rFonts w:ascii="Arial" w:hAnsi="Arial" w:cs="Arial"/>
        </w:rPr>
      </w:pPr>
    </w:p>
    <w:p w:rsidR="005653C9" w:rsidRPr="005653C9" w:rsidRDefault="005653C9" w:rsidP="005201ED">
      <w:pPr>
        <w:spacing w:before="100" w:beforeAutospacing="1" w:after="100" w:afterAutospacing="1" w:line="360" w:lineRule="auto"/>
        <w:ind w:left="1350" w:hanging="630"/>
        <w:jc w:val="both"/>
        <w:outlineLvl w:val="0"/>
        <w:rPr>
          <w:rFonts w:ascii="Arial" w:hAnsi="Arial" w:cs="Arial"/>
          <w:b/>
          <w:lang w:val="en-ZA"/>
        </w:rPr>
      </w:pPr>
      <w:r w:rsidRPr="005653C9">
        <w:rPr>
          <w:rFonts w:ascii="Arial" w:hAnsi="Arial" w:cs="Arial"/>
          <w:b/>
          <w:lang w:val="en-ZA"/>
        </w:rPr>
        <w:t>181.</w:t>
      </w:r>
      <w:r w:rsidRPr="005653C9">
        <w:rPr>
          <w:rFonts w:ascii="Arial" w:hAnsi="Arial" w:cs="Arial"/>
          <w:b/>
          <w:lang w:val="en-ZA"/>
        </w:rPr>
        <w:tab/>
        <w:t>Dr N V Khumalo (DA) to ask the Minister of Cooperative Governance and Traditional Affairs</w:t>
      </w:r>
      <w:r w:rsidRPr="005653C9">
        <w:rPr>
          <w:rFonts w:ascii="Arial" w:hAnsi="Arial" w:cs="Arial"/>
          <w:b/>
          <w:lang w:val="en-ZA"/>
        </w:rPr>
        <w:fldChar w:fldCharType="begin"/>
      </w:r>
      <w:r w:rsidRPr="005653C9">
        <w:rPr>
          <w:rFonts w:ascii="Arial" w:hAnsi="Arial" w:cs="Arial"/>
          <w:lang w:val="en-ZA"/>
        </w:rPr>
        <w:instrText xml:space="preserve"> XE "</w:instrText>
      </w:r>
      <w:r w:rsidRPr="005653C9">
        <w:rPr>
          <w:rFonts w:ascii="Arial" w:hAnsi="Arial" w:cs="Arial"/>
          <w:b/>
          <w:lang w:val="en-GB"/>
        </w:rPr>
        <w:instrText>Cooperative Governance and Traditional Affairs</w:instrText>
      </w:r>
      <w:r w:rsidRPr="005653C9">
        <w:rPr>
          <w:rFonts w:ascii="Arial" w:hAnsi="Arial" w:cs="Arial"/>
          <w:lang w:val="en-ZA"/>
        </w:rPr>
        <w:instrText xml:space="preserve">" </w:instrText>
      </w:r>
      <w:r w:rsidRPr="005653C9">
        <w:rPr>
          <w:rFonts w:ascii="Arial" w:hAnsi="Arial" w:cs="Arial"/>
          <w:b/>
          <w:lang w:val="en-ZA"/>
        </w:rPr>
        <w:fldChar w:fldCharType="end"/>
      </w:r>
      <w:r w:rsidRPr="005653C9">
        <w:rPr>
          <w:rFonts w:ascii="Arial" w:hAnsi="Arial" w:cs="Arial"/>
          <w:b/>
          <w:lang w:val="en-ZA"/>
        </w:rPr>
        <w:t xml:space="preserve">: </w:t>
      </w:r>
    </w:p>
    <w:p w:rsidR="007A3F71" w:rsidRPr="00A21372" w:rsidRDefault="005653C9" w:rsidP="00A21372">
      <w:pPr>
        <w:spacing w:before="100" w:beforeAutospacing="1" w:after="100" w:afterAutospacing="1" w:line="360" w:lineRule="auto"/>
        <w:ind w:left="1350"/>
        <w:jc w:val="both"/>
        <w:outlineLvl w:val="0"/>
        <w:rPr>
          <w:rFonts w:ascii="Arial" w:hAnsi="Arial" w:cs="Arial"/>
          <w:lang w:val="en-ZA"/>
        </w:rPr>
      </w:pPr>
      <w:r w:rsidRPr="005653C9">
        <w:rPr>
          <w:rFonts w:ascii="Arial" w:hAnsi="Arial" w:cs="Arial"/>
          <w:lang w:val="en-ZA"/>
        </w:rPr>
        <w:t>(a) What number of supplier invoices currently remain unpaid by (i) her department and (ii) each entity reporting to her for more than (aa) 30 days, (bb) 60 days, (cc) 90 days and (dd) 120 days, (b) what is the total amount outstanding in each case and (c) by what date is it envisaged that the outstanding amounts will be settled?</w:t>
      </w:r>
      <w:r w:rsidR="00C754F1">
        <w:rPr>
          <w:rFonts w:ascii="Arial" w:hAnsi="Arial" w:cs="Arial"/>
          <w:lang w:val="en-ZA"/>
        </w:rPr>
        <w:t xml:space="preserve"> </w:t>
      </w:r>
      <w:r w:rsidRPr="005653C9">
        <w:rPr>
          <w:rFonts w:ascii="Arial" w:hAnsi="Arial" w:cs="Arial"/>
          <w:lang w:val="en-ZA"/>
        </w:rPr>
        <w:t>NW185E</w:t>
      </w:r>
    </w:p>
    <w:p w:rsidR="007A3F71" w:rsidRDefault="007A3F71" w:rsidP="00060027">
      <w:pPr>
        <w:spacing w:line="360" w:lineRule="auto"/>
        <w:ind w:left="720"/>
        <w:jc w:val="both"/>
        <w:rPr>
          <w:rFonts w:ascii="Arial" w:hAnsi="Arial" w:cs="Arial"/>
          <w:bCs/>
        </w:rPr>
      </w:pPr>
    </w:p>
    <w:p w:rsidR="007A3F71" w:rsidRPr="00060027" w:rsidRDefault="007A3F71" w:rsidP="00060027">
      <w:pPr>
        <w:spacing w:line="360" w:lineRule="auto"/>
        <w:ind w:left="720"/>
        <w:jc w:val="both"/>
        <w:rPr>
          <w:rFonts w:ascii="Arial" w:hAnsi="Arial" w:cs="Arial"/>
          <w:bCs/>
        </w:rPr>
      </w:pPr>
    </w:p>
    <w:p w:rsidR="00060027" w:rsidRDefault="001B31C1" w:rsidP="00060027">
      <w:pPr>
        <w:ind w:hanging="142"/>
        <w:rPr>
          <w:rFonts w:ascii="Arial" w:hAnsi="Arial" w:cs="Arial"/>
          <w:b/>
        </w:rPr>
      </w:pPr>
      <w:r>
        <w:rPr>
          <w:rFonts w:ascii="Arial" w:hAnsi="Arial" w:cs="Arial"/>
          <w:b/>
        </w:rPr>
        <w:tab/>
      </w:r>
      <w:r w:rsidR="00060027" w:rsidRPr="00060027">
        <w:rPr>
          <w:rFonts w:ascii="Arial" w:hAnsi="Arial" w:cs="Arial"/>
          <w:b/>
        </w:rPr>
        <w:t>COOPERATIVE AND GOVERNANCE REPLY</w:t>
      </w:r>
      <w:r w:rsidR="00060027">
        <w:rPr>
          <w:rFonts w:ascii="Arial" w:hAnsi="Arial" w:cs="Arial"/>
          <w:b/>
        </w:rPr>
        <w:t>:</w:t>
      </w:r>
    </w:p>
    <w:p w:rsidR="00060027" w:rsidRPr="00060027" w:rsidRDefault="00060027" w:rsidP="00060027">
      <w:pPr>
        <w:ind w:hanging="142"/>
        <w:rPr>
          <w:rFonts w:ascii="Arial" w:hAnsi="Arial" w:cs="Arial"/>
          <w:b/>
        </w:rPr>
      </w:pPr>
    </w:p>
    <w:p w:rsidR="00060027" w:rsidRPr="00A225D0" w:rsidRDefault="00060027" w:rsidP="00060027">
      <w:pPr>
        <w:jc w:val="both"/>
        <w:rPr>
          <w:sz w:val="28"/>
          <w:szCs w:val="28"/>
        </w:rPr>
      </w:pPr>
      <w:r w:rsidRPr="00A225D0">
        <w:rPr>
          <w:rFonts w:ascii="Arial" w:eastAsia="Arial" w:hAnsi="Arial" w:cs="Arial"/>
          <w:szCs w:val="28"/>
        </w:rPr>
        <w:t>The table below indicate the status of the Payment of invoices in the Department of Cooperative Governance (DCoG) and its Entities: </w:t>
      </w:r>
    </w:p>
    <w:tbl>
      <w:tblPr>
        <w:tblW w:w="10058"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765"/>
        <w:gridCol w:w="1310"/>
        <w:gridCol w:w="1047"/>
        <w:gridCol w:w="1086"/>
        <w:gridCol w:w="1222"/>
        <w:gridCol w:w="1019"/>
        <w:gridCol w:w="1112"/>
        <w:gridCol w:w="1497"/>
      </w:tblGrid>
      <w:tr w:rsidR="00060027" w:rsidTr="00A21372">
        <w:trPr>
          <w:trHeight w:val="2097"/>
          <w:tblCellSpacing w:w="0" w:type="dxa"/>
        </w:trPr>
        <w:tc>
          <w:tcPr>
            <w:tcW w:w="1765" w:type="dxa"/>
            <w:tcBorders>
              <w:top w:val="inset" w:sz="6" w:space="0" w:color="000000"/>
              <w:left w:val="inset" w:sz="6" w:space="0" w:color="000000"/>
              <w:bottom w:val="inset" w:sz="6" w:space="0" w:color="000000"/>
              <w:right w:val="inset" w:sz="6" w:space="0" w:color="000000"/>
            </w:tcBorders>
            <w:shd w:val="clear" w:color="auto" w:fill="D9D9D9"/>
            <w:tcMar>
              <w:top w:w="22" w:type="dxa"/>
              <w:left w:w="22" w:type="dxa"/>
              <w:bottom w:w="22" w:type="dxa"/>
              <w:right w:w="22" w:type="dxa"/>
            </w:tcMar>
            <w:vAlign w:val="center"/>
            <w:hideMark/>
          </w:tcPr>
          <w:p w:rsidR="00060027" w:rsidRDefault="00060027" w:rsidP="007A3F71">
            <w:pPr>
              <w:ind w:left="100" w:right="100"/>
              <w:jc w:val="both"/>
              <w:rPr>
                <w:color w:val="000000"/>
              </w:rPr>
            </w:pPr>
            <w:r>
              <w:rPr>
                <w:rFonts w:ascii="Arial" w:eastAsia="Arial" w:hAnsi="Arial" w:cs="Arial"/>
                <w:b/>
                <w:bCs/>
                <w:color w:val="000000"/>
                <w:sz w:val="22"/>
              </w:rPr>
              <w:t>ENTITY</w:t>
            </w:r>
          </w:p>
        </w:tc>
        <w:tc>
          <w:tcPr>
            <w:tcW w:w="1310" w:type="dxa"/>
            <w:tcBorders>
              <w:top w:val="inset" w:sz="6" w:space="0" w:color="000000"/>
              <w:left w:val="inset" w:sz="6" w:space="0" w:color="000000"/>
              <w:bottom w:val="inset" w:sz="6" w:space="0" w:color="000000"/>
              <w:right w:val="inset" w:sz="6" w:space="0" w:color="000000"/>
            </w:tcBorders>
            <w:shd w:val="clear" w:color="auto" w:fill="D9D9D9"/>
            <w:tcMar>
              <w:top w:w="22" w:type="dxa"/>
              <w:left w:w="22" w:type="dxa"/>
              <w:bottom w:w="22" w:type="dxa"/>
              <w:right w:w="22" w:type="dxa"/>
            </w:tcMar>
            <w:vAlign w:val="center"/>
            <w:hideMark/>
          </w:tcPr>
          <w:p w:rsidR="00060027" w:rsidRDefault="00060027" w:rsidP="007A3F71">
            <w:pPr>
              <w:ind w:left="100" w:right="100"/>
              <w:jc w:val="both"/>
              <w:rPr>
                <w:color w:val="000000"/>
              </w:rPr>
            </w:pPr>
            <w:r>
              <w:rPr>
                <w:rFonts w:ascii="Arial" w:eastAsia="Arial" w:hAnsi="Arial" w:cs="Arial"/>
                <w:color w:val="000000"/>
                <w:sz w:val="22"/>
              </w:rPr>
              <w:t>What number of supplier invoices currently remain unpaid by (ii) each entity</w:t>
            </w:r>
          </w:p>
        </w:tc>
        <w:tc>
          <w:tcPr>
            <w:tcW w:w="1047" w:type="dxa"/>
            <w:tcBorders>
              <w:top w:val="inset" w:sz="6" w:space="0" w:color="000000"/>
              <w:left w:val="inset" w:sz="6" w:space="0" w:color="000000"/>
              <w:bottom w:val="inset" w:sz="6" w:space="0" w:color="000000"/>
              <w:right w:val="inset" w:sz="6" w:space="0" w:color="000000"/>
            </w:tcBorders>
            <w:shd w:val="clear" w:color="auto" w:fill="D9D9D9"/>
            <w:tcMar>
              <w:top w:w="22" w:type="dxa"/>
              <w:left w:w="22" w:type="dxa"/>
              <w:bottom w:w="22" w:type="dxa"/>
              <w:right w:w="22" w:type="dxa"/>
            </w:tcMar>
            <w:vAlign w:val="center"/>
            <w:hideMark/>
          </w:tcPr>
          <w:p w:rsidR="00060027" w:rsidRDefault="00060027" w:rsidP="007A3F71">
            <w:pPr>
              <w:ind w:left="100" w:right="100"/>
              <w:jc w:val="both"/>
              <w:rPr>
                <w:color w:val="000000"/>
              </w:rPr>
            </w:pPr>
            <w:r>
              <w:rPr>
                <w:rFonts w:ascii="Arial" w:eastAsia="Arial" w:hAnsi="Arial" w:cs="Arial"/>
                <w:color w:val="000000"/>
                <w:sz w:val="22"/>
              </w:rPr>
              <w:t>(aa) More than 30 days</w:t>
            </w:r>
          </w:p>
        </w:tc>
        <w:tc>
          <w:tcPr>
            <w:tcW w:w="1086" w:type="dxa"/>
            <w:tcBorders>
              <w:top w:val="inset" w:sz="6" w:space="0" w:color="000000"/>
              <w:left w:val="inset" w:sz="6" w:space="0" w:color="000000"/>
              <w:bottom w:val="inset" w:sz="6" w:space="0" w:color="000000"/>
              <w:right w:val="inset" w:sz="6" w:space="0" w:color="000000"/>
            </w:tcBorders>
            <w:shd w:val="clear" w:color="auto" w:fill="D9D9D9"/>
            <w:tcMar>
              <w:top w:w="22" w:type="dxa"/>
              <w:left w:w="22" w:type="dxa"/>
              <w:bottom w:w="22" w:type="dxa"/>
              <w:right w:w="22" w:type="dxa"/>
            </w:tcMar>
            <w:vAlign w:val="center"/>
            <w:hideMark/>
          </w:tcPr>
          <w:p w:rsidR="00060027" w:rsidRDefault="00060027" w:rsidP="007A3F71">
            <w:pPr>
              <w:ind w:left="100" w:right="100"/>
              <w:jc w:val="both"/>
              <w:rPr>
                <w:color w:val="000000"/>
              </w:rPr>
            </w:pPr>
            <w:r>
              <w:rPr>
                <w:rFonts w:ascii="Arial" w:eastAsia="Arial" w:hAnsi="Arial" w:cs="Arial"/>
                <w:color w:val="000000"/>
                <w:sz w:val="22"/>
              </w:rPr>
              <w:t>(bb) more than 60 days</w:t>
            </w:r>
          </w:p>
        </w:tc>
        <w:tc>
          <w:tcPr>
            <w:tcW w:w="1222" w:type="dxa"/>
            <w:tcBorders>
              <w:top w:val="inset" w:sz="6" w:space="0" w:color="000000"/>
              <w:left w:val="inset" w:sz="6" w:space="0" w:color="000000"/>
              <w:bottom w:val="inset" w:sz="6" w:space="0" w:color="000000"/>
              <w:right w:val="inset" w:sz="6" w:space="0" w:color="000000"/>
            </w:tcBorders>
            <w:shd w:val="clear" w:color="auto" w:fill="D9D9D9"/>
            <w:tcMar>
              <w:top w:w="22" w:type="dxa"/>
              <w:left w:w="22" w:type="dxa"/>
              <w:bottom w:w="22" w:type="dxa"/>
              <w:right w:w="22" w:type="dxa"/>
            </w:tcMar>
            <w:vAlign w:val="center"/>
            <w:hideMark/>
          </w:tcPr>
          <w:p w:rsidR="00060027" w:rsidRDefault="00060027" w:rsidP="007A3F71">
            <w:pPr>
              <w:ind w:left="100" w:right="100"/>
              <w:jc w:val="both"/>
              <w:rPr>
                <w:color w:val="000000"/>
              </w:rPr>
            </w:pPr>
            <w:r>
              <w:rPr>
                <w:rFonts w:ascii="Arial" w:eastAsia="Arial" w:hAnsi="Arial" w:cs="Arial"/>
                <w:color w:val="000000"/>
                <w:sz w:val="22"/>
              </w:rPr>
              <w:t>(cc) more than 90 days</w:t>
            </w:r>
          </w:p>
        </w:tc>
        <w:tc>
          <w:tcPr>
            <w:tcW w:w="1019" w:type="dxa"/>
            <w:tcBorders>
              <w:top w:val="inset" w:sz="6" w:space="0" w:color="000000"/>
              <w:left w:val="inset" w:sz="6" w:space="0" w:color="000000"/>
              <w:bottom w:val="inset" w:sz="6" w:space="0" w:color="000000"/>
              <w:right w:val="inset" w:sz="6" w:space="0" w:color="000000"/>
            </w:tcBorders>
            <w:shd w:val="clear" w:color="auto" w:fill="D9D9D9"/>
            <w:tcMar>
              <w:top w:w="22" w:type="dxa"/>
              <w:left w:w="22" w:type="dxa"/>
              <w:bottom w:w="22" w:type="dxa"/>
              <w:right w:w="22" w:type="dxa"/>
            </w:tcMar>
            <w:vAlign w:val="center"/>
            <w:hideMark/>
          </w:tcPr>
          <w:p w:rsidR="00060027" w:rsidRDefault="00060027" w:rsidP="007A3F71">
            <w:pPr>
              <w:ind w:left="100" w:right="100"/>
              <w:jc w:val="both"/>
              <w:rPr>
                <w:color w:val="000000"/>
              </w:rPr>
            </w:pPr>
            <w:r>
              <w:rPr>
                <w:rFonts w:ascii="Arial" w:eastAsia="Arial" w:hAnsi="Arial" w:cs="Arial"/>
                <w:color w:val="000000"/>
                <w:sz w:val="22"/>
              </w:rPr>
              <w:t>(dd) more than 120 days</w:t>
            </w:r>
          </w:p>
        </w:tc>
        <w:tc>
          <w:tcPr>
            <w:tcW w:w="1112" w:type="dxa"/>
            <w:tcBorders>
              <w:top w:val="inset" w:sz="6" w:space="0" w:color="000000"/>
              <w:left w:val="inset" w:sz="6" w:space="0" w:color="000000"/>
              <w:bottom w:val="inset" w:sz="6" w:space="0" w:color="000000"/>
              <w:right w:val="inset" w:sz="6" w:space="0" w:color="000000"/>
            </w:tcBorders>
            <w:shd w:val="clear" w:color="auto" w:fill="D9D9D9"/>
            <w:tcMar>
              <w:top w:w="22" w:type="dxa"/>
              <w:left w:w="22" w:type="dxa"/>
              <w:bottom w:w="22" w:type="dxa"/>
              <w:right w:w="22" w:type="dxa"/>
            </w:tcMar>
            <w:vAlign w:val="center"/>
            <w:hideMark/>
          </w:tcPr>
          <w:p w:rsidR="00060027" w:rsidRDefault="00060027" w:rsidP="007A3F71">
            <w:pPr>
              <w:ind w:left="100" w:right="100"/>
              <w:jc w:val="both"/>
              <w:rPr>
                <w:color w:val="000000"/>
              </w:rPr>
            </w:pPr>
            <w:r>
              <w:rPr>
                <w:rFonts w:ascii="Arial" w:eastAsia="Arial" w:hAnsi="Arial" w:cs="Arial"/>
                <w:color w:val="000000"/>
                <w:sz w:val="22"/>
              </w:rPr>
              <w:t>(b) total amount o/s</w:t>
            </w:r>
          </w:p>
          <w:p w:rsidR="00060027" w:rsidRDefault="00060027" w:rsidP="007A3F71">
            <w:pPr>
              <w:spacing w:before="240"/>
              <w:ind w:left="100" w:right="100"/>
              <w:jc w:val="both"/>
              <w:rPr>
                <w:color w:val="000000"/>
              </w:rPr>
            </w:pPr>
            <w:r>
              <w:rPr>
                <w:rFonts w:ascii="Arial" w:eastAsia="Arial" w:hAnsi="Arial" w:cs="Arial"/>
                <w:color w:val="000000"/>
                <w:sz w:val="22"/>
              </w:rPr>
              <w:t>R’00</w:t>
            </w:r>
          </w:p>
        </w:tc>
        <w:tc>
          <w:tcPr>
            <w:tcW w:w="1497" w:type="dxa"/>
            <w:tcBorders>
              <w:top w:val="inset" w:sz="6" w:space="0" w:color="000000"/>
              <w:left w:val="inset" w:sz="6" w:space="0" w:color="000000"/>
              <w:bottom w:val="inset" w:sz="6" w:space="0" w:color="000000"/>
              <w:right w:val="inset" w:sz="6" w:space="0" w:color="000000"/>
            </w:tcBorders>
            <w:shd w:val="clear" w:color="auto" w:fill="D9D9D9"/>
            <w:tcMar>
              <w:top w:w="22" w:type="dxa"/>
              <w:left w:w="22" w:type="dxa"/>
              <w:bottom w:w="22" w:type="dxa"/>
              <w:right w:w="22" w:type="dxa"/>
            </w:tcMar>
            <w:vAlign w:val="center"/>
            <w:hideMark/>
          </w:tcPr>
          <w:p w:rsidR="00060027" w:rsidRDefault="00060027" w:rsidP="007A3F71">
            <w:pPr>
              <w:ind w:left="100" w:right="100"/>
              <w:jc w:val="both"/>
              <w:rPr>
                <w:color w:val="000000"/>
              </w:rPr>
            </w:pPr>
            <w:r>
              <w:rPr>
                <w:rFonts w:ascii="Arial" w:eastAsia="Arial" w:hAnsi="Arial" w:cs="Arial"/>
                <w:color w:val="000000"/>
                <w:sz w:val="22"/>
              </w:rPr>
              <w:t>(c) what date the o/s amount will be settled</w:t>
            </w:r>
          </w:p>
          <w:p w:rsidR="00060027" w:rsidRDefault="00060027" w:rsidP="007A3F71">
            <w:pPr>
              <w:spacing w:before="240"/>
              <w:ind w:left="100" w:right="100"/>
              <w:jc w:val="both"/>
              <w:rPr>
                <w:color w:val="000000"/>
              </w:rPr>
            </w:pPr>
            <w:r>
              <w:rPr>
                <w:rFonts w:ascii="Arial" w:eastAsia="Arial" w:hAnsi="Arial" w:cs="Arial"/>
                <w:color w:val="000000"/>
                <w:sz w:val="22"/>
              </w:rPr>
              <w:t>R’00</w:t>
            </w:r>
          </w:p>
        </w:tc>
      </w:tr>
      <w:tr w:rsidR="00060027" w:rsidTr="00A21372">
        <w:trPr>
          <w:trHeight w:val="43"/>
          <w:tblCellSpacing w:w="0" w:type="dxa"/>
        </w:trPr>
        <w:tc>
          <w:tcPr>
            <w:tcW w:w="176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b/>
                <w:bCs/>
                <w:color w:val="000000"/>
                <w:sz w:val="22"/>
              </w:rPr>
              <w:t>DCOG</w:t>
            </w:r>
          </w:p>
        </w:tc>
        <w:tc>
          <w:tcPr>
            <w:tcW w:w="13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4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22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1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Not applicable</w:t>
            </w:r>
          </w:p>
        </w:tc>
      </w:tr>
      <w:tr w:rsidR="00060027" w:rsidTr="00A21372">
        <w:trPr>
          <w:trHeight w:val="43"/>
          <w:tblCellSpacing w:w="0" w:type="dxa"/>
        </w:trPr>
        <w:tc>
          <w:tcPr>
            <w:tcW w:w="176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b/>
                <w:bCs/>
                <w:color w:val="000000"/>
                <w:sz w:val="22"/>
              </w:rPr>
              <w:t>MDB</w:t>
            </w:r>
          </w:p>
        </w:tc>
        <w:tc>
          <w:tcPr>
            <w:tcW w:w="13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4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22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1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Not applicable</w:t>
            </w:r>
          </w:p>
        </w:tc>
      </w:tr>
      <w:tr w:rsidR="00060027" w:rsidTr="00A21372">
        <w:trPr>
          <w:trHeight w:val="422"/>
          <w:tblCellSpacing w:w="0" w:type="dxa"/>
        </w:trPr>
        <w:tc>
          <w:tcPr>
            <w:tcW w:w="176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b/>
                <w:bCs/>
                <w:color w:val="000000"/>
                <w:sz w:val="22"/>
              </w:rPr>
              <w:lastRenderedPageBreak/>
              <w:t>SALGA</w:t>
            </w:r>
          </w:p>
        </w:tc>
        <w:tc>
          <w:tcPr>
            <w:tcW w:w="13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49</w:t>
            </w:r>
          </w:p>
        </w:tc>
        <w:tc>
          <w:tcPr>
            <w:tcW w:w="104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-R12 227 308.26 credit balance</w:t>
            </w:r>
          </w:p>
        </w:tc>
        <w:tc>
          <w:tcPr>
            <w:tcW w:w="10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R 195 549.08 with a debit balance</w:t>
            </w:r>
          </w:p>
        </w:tc>
        <w:tc>
          <w:tcPr>
            <w:tcW w:w="122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R 590 318.57 with a debit balance</w:t>
            </w:r>
          </w:p>
        </w:tc>
        <w:tc>
          <w:tcPr>
            <w:tcW w:w="10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547 690.79</w:t>
            </w:r>
          </w:p>
        </w:tc>
        <w:tc>
          <w:tcPr>
            <w:tcW w:w="11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R 1 333 558.44</w:t>
            </w:r>
          </w:p>
        </w:tc>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28 February 2022</w:t>
            </w:r>
          </w:p>
        </w:tc>
      </w:tr>
      <w:tr w:rsidR="00060027" w:rsidTr="00A21372">
        <w:trPr>
          <w:trHeight w:val="242"/>
          <w:tblCellSpacing w:w="0" w:type="dxa"/>
        </w:trPr>
        <w:tc>
          <w:tcPr>
            <w:tcW w:w="176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b/>
                <w:bCs/>
                <w:color w:val="000000"/>
                <w:sz w:val="22"/>
              </w:rPr>
              <w:t>SACN</w:t>
            </w:r>
          </w:p>
        </w:tc>
        <w:tc>
          <w:tcPr>
            <w:tcW w:w="13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4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22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1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Not applicable</w:t>
            </w:r>
          </w:p>
        </w:tc>
      </w:tr>
      <w:tr w:rsidR="00060027" w:rsidTr="00A21372">
        <w:trPr>
          <w:trHeight w:val="287"/>
          <w:tblCellSpacing w:w="0" w:type="dxa"/>
        </w:trPr>
        <w:tc>
          <w:tcPr>
            <w:tcW w:w="176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b/>
                <w:bCs/>
                <w:color w:val="000000"/>
                <w:sz w:val="22"/>
              </w:rPr>
              <w:t>MISA</w:t>
            </w:r>
          </w:p>
        </w:tc>
        <w:tc>
          <w:tcPr>
            <w:tcW w:w="13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4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22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0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1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None</w:t>
            </w:r>
          </w:p>
        </w:tc>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060027" w:rsidRDefault="00060027" w:rsidP="007A3F71">
            <w:pPr>
              <w:ind w:left="100" w:right="100"/>
              <w:jc w:val="both"/>
              <w:rPr>
                <w:color w:val="000000"/>
              </w:rPr>
            </w:pPr>
            <w:r>
              <w:rPr>
                <w:rFonts w:ascii="Arial" w:eastAsia="Arial" w:hAnsi="Arial" w:cs="Arial"/>
                <w:color w:val="000000"/>
                <w:sz w:val="22"/>
              </w:rPr>
              <w:t>Not applicable</w:t>
            </w:r>
          </w:p>
        </w:tc>
      </w:tr>
      <w:tr w:rsidR="00A21372" w:rsidTr="00A21372">
        <w:trPr>
          <w:trHeight w:val="287"/>
          <w:tblCellSpacing w:w="0" w:type="dxa"/>
        </w:trPr>
        <w:tc>
          <w:tcPr>
            <w:tcW w:w="176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tcPr>
          <w:p w:rsidR="00A21372" w:rsidRDefault="00A21372" w:rsidP="00A21372">
            <w:pPr>
              <w:ind w:left="100" w:right="100"/>
              <w:jc w:val="both"/>
              <w:rPr>
                <w:rFonts w:ascii="Arial" w:eastAsia="Arial" w:hAnsi="Arial" w:cs="Arial"/>
                <w:b/>
                <w:bCs/>
                <w:color w:val="000000"/>
                <w:sz w:val="22"/>
              </w:rPr>
            </w:pPr>
            <w:r>
              <w:rPr>
                <w:rFonts w:ascii="Arial" w:eastAsia="Arial" w:hAnsi="Arial" w:cs="Arial"/>
                <w:b/>
                <w:bCs/>
                <w:color w:val="000000"/>
                <w:sz w:val="22"/>
              </w:rPr>
              <w:t>TRADITIONAL AFFAIRS</w:t>
            </w:r>
          </w:p>
        </w:tc>
        <w:tc>
          <w:tcPr>
            <w:tcW w:w="13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tcPr>
          <w:p w:rsidR="00A21372" w:rsidRDefault="00A21372" w:rsidP="00A21372">
            <w:pPr>
              <w:ind w:left="100" w:right="100"/>
              <w:jc w:val="both"/>
              <w:rPr>
                <w:rFonts w:ascii="Arial" w:eastAsia="Arial" w:hAnsi="Arial" w:cs="Arial"/>
                <w:color w:val="000000"/>
                <w:sz w:val="22"/>
              </w:rPr>
            </w:pPr>
            <w:r>
              <w:rPr>
                <w:rFonts w:ascii="Arial" w:eastAsia="Arial" w:hAnsi="Arial" w:cs="Arial"/>
                <w:color w:val="000000"/>
                <w:sz w:val="22"/>
              </w:rPr>
              <w:t>None</w:t>
            </w:r>
          </w:p>
        </w:tc>
        <w:tc>
          <w:tcPr>
            <w:tcW w:w="104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tcPr>
          <w:p w:rsidR="00A21372" w:rsidRDefault="00A21372" w:rsidP="00A21372">
            <w:pPr>
              <w:ind w:left="100" w:right="100"/>
              <w:jc w:val="both"/>
              <w:rPr>
                <w:rFonts w:ascii="Arial" w:eastAsia="Arial" w:hAnsi="Arial" w:cs="Arial"/>
                <w:color w:val="000000"/>
                <w:sz w:val="22"/>
              </w:rPr>
            </w:pPr>
            <w:r>
              <w:rPr>
                <w:rFonts w:ascii="Arial" w:eastAsia="Arial" w:hAnsi="Arial" w:cs="Arial"/>
                <w:color w:val="000000"/>
                <w:sz w:val="22"/>
              </w:rPr>
              <w:t>None</w:t>
            </w:r>
          </w:p>
        </w:tc>
        <w:tc>
          <w:tcPr>
            <w:tcW w:w="108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tcPr>
          <w:p w:rsidR="00A21372" w:rsidRDefault="00A21372" w:rsidP="00A21372">
            <w:pPr>
              <w:ind w:left="100" w:right="100"/>
              <w:jc w:val="both"/>
              <w:rPr>
                <w:rFonts w:ascii="Arial" w:eastAsia="Arial" w:hAnsi="Arial" w:cs="Arial"/>
                <w:color w:val="000000"/>
                <w:sz w:val="22"/>
              </w:rPr>
            </w:pPr>
            <w:r>
              <w:rPr>
                <w:rFonts w:ascii="Arial" w:eastAsia="Arial" w:hAnsi="Arial" w:cs="Arial"/>
                <w:color w:val="000000"/>
                <w:sz w:val="22"/>
              </w:rPr>
              <w:t>None</w:t>
            </w:r>
          </w:p>
        </w:tc>
        <w:tc>
          <w:tcPr>
            <w:tcW w:w="122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tcPr>
          <w:p w:rsidR="00A21372" w:rsidRDefault="00A21372" w:rsidP="00A21372">
            <w:pPr>
              <w:ind w:left="100" w:right="100"/>
              <w:jc w:val="both"/>
              <w:rPr>
                <w:rFonts w:ascii="Arial" w:eastAsia="Arial" w:hAnsi="Arial" w:cs="Arial"/>
                <w:color w:val="000000"/>
                <w:sz w:val="22"/>
              </w:rPr>
            </w:pPr>
            <w:r>
              <w:rPr>
                <w:rFonts w:ascii="Arial" w:eastAsia="Arial" w:hAnsi="Arial" w:cs="Arial"/>
                <w:color w:val="000000"/>
                <w:sz w:val="22"/>
              </w:rPr>
              <w:t>None</w:t>
            </w:r>
          </w:p>
        </w:tc>
        <w:tc>
          <w:tcPr>
            <w:tcW w:w="101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tcPr>
          <w:p w:rsidR="00A21372" w:rsidRDefault="00A21372" w:rsidP="00A21372">
            <w:pPr>
              <w:ind w:left="100" w:right="100"/>
              <w:jc w:val="both"/>
              <w:rPr>
                <w:rFonts w:ascii="Arial" w:eastAsia="Arial" w:hAnsi="Arial" w:cs="Arial"/>
                <w:color w:val="000000"/>
                <w:sz w:val="22"/>
              </w:rPr>
            </w:pPr>
            <w:r>
              <w:rPr>
                <w:rFonts w:ascii="Arial" w:eastAsia="Arial" w:hAnsi="Arial" w:cs="Arial"/>
                <w:color w:val="000000"/>
                <w:sz w:val="22"/>
              </w:rPr>
              <w:t>None</w:t>
            </w:r>
          </w:p>
        </w:tc>
        <w:tc>
          <w:tcPr>
            <w:tcW w:w="11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tcPr>
          <w:p w:rsidR="00A21372" w:rsidRDefault="00A21372" w:rsidP="00A21372">
            <w:pPr>
              <w:ind w:left="100" w:right="100"/>
              <w:jc w:val="both"/>
              <w:rPr>
                <w:rFonts w:ascii="Arial" w:eastAsia="Arial" w:hAnsi="Arial" w:cs="Arial"/>
                <w:color w:val="000000"/>
                <w:sz w:val="22"/>
              </w:rPr>
            </w:pPr>
            <w:r>
              <w:rPr>
                <w:rFonts w:ascii="Arial" w:eastAsia="Arial" w:hAnsi="Arial" w:cs="Arial"/>
                <w:color w:val="000000"/>
                <w:sz w:val="22"/>
              </w:rPr>
              <w:t>None</w:t>
            </w:r>
          </w:p>
        </w:tc>
        <w:tc>
          <w:tcPr>
            <w:tcW w:w="14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tcPr>
          <w:p w:rsidR="00A21372" w:rsidRDefault="00A21372" w:rsidP="00A21372">
            <w:pPr>
              <w:ind w:left="100" w:right="100"/>
              <w:jc w:val="both"/>
              <w:rPr>
                <w:rFonts w:ascii="Arial" w:eastAsia="Arial" w:hAnsi="Arial" w:cs="Arial"/>
                <w:color w:val="000000"/>
                <w:sz w:val="22"/>
              </w:rPr>
            </w:pPr>
            <w:r>
              <w:rPr>
                <w:rFonts w:ascii="Arial" w:eastAsia="Arial" w:hAnsi="Arial" w:cs="Arial"/>
                <w:color w:val="000000"/>
                <w:sz w:val="22"/>
              </w:rPr>
              <w:t>Not Applicable</w:t>
            </w:r>
          </w:p>
        </w:tc>
      </w:tr>
    </w:tbl>
    <w:p w:rsidR="00060027" w:rsidRPr="00A225D0" w:rsidRDefault="00060027" w:rsidP="00060027">
      <w:pPr>
        <w:spacing w:before="240"/>
        <w:jc w:val="both"/>
      </w:pPr>
    </w:p>
    <w:p w:rsidR="00060027" w:rsidRDefault="00060027">
      <w:pPr>
        <w:spacing w:line="360" w:lineRule="auto"/>
        <w:ind w:left="720"/>
        <w:jc w:val="both"/>
        <w:rPr>
          <w:rFonts w:ascii="Arial" w:hAnsi="Arial" w:cs="Arial"/>
          <w:bCs/>
        </w:rPr>
      </w:pPr>
    </w:p>
    <w:sectPr w:rsidR="00060027" w:rsidSect="002F6BEA">
      <w:pgSz w:w="12240" w:h="15840"/>
      <w:pgMar w:top="851"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tplc="FFFFFFFF">
      <w:start w:val="2"/>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tplc="FFFFFFFF">
      <w:start w:val="1"/>
      <w:numFmt w:val="upperRoman"/>
      <w:lvlText w:val="%1."/>
      <w:lvlJc w:val="right"/>
      <w:pPr>
        <w:ind w:left="1260" w:hanging="180"/>
      </w:p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tplc="FFFFFFFF">
      <w:start w:val="1"/>
      <w:numFmt w:val="decimal"/>
      <w:lvlText w:val="(%1)"/>
      <w:lvlJc w:val="left"/>
      <w:pPr>
        <w:ind w:left="1166" w:hanging="360"/>
      </w:pPr>
      <w:rPr>
        <w:rFonts w:ascii="Arial" w:hAnsi="Arial" w:cs="Arial"/>
      </w:rPr>
    </w:lvl>
    <w:lvl w:ilvl="1" w:tplc="FFFFFFFF">
      <w:start w:val="1"/>
      <w:numFmt w:val="lowerLetter"/>
      <w:lvlText w:val="%2."/>
      <w:lvlJc w:val="left"/>
      <w:pPr>
        <w:ind w:left="1886" w:hanging="360"/>
      </w:pPr>
    </w:lvl>
    <w:lvl w:ilvl="2" w:tplc="FFFFFFFF">
      <w:start w:val="1"/>
      <w:numFmt w:val="lowerRoman"/>
      <w:lvlText w:val="%3."/>
      <w:lvlJc w:val="right"/>
      <w:pPr>
        <w:ind w:left="2606" w:hanging="180"/>
      </w:pPr>
    </w:lvl>
    <w:lvl w:ilvl="3" w:tplc="FFFFFFFF">
      <w:start w:val="1"/>
      <w:numFmt w:val="decimal"/>
      <w:lvlText w:val="%4."/>
      <w:lvlJc w:val="left"/>
      <w:pPr>
        <w:ind w:left="3326" w:hanging="360"/>
      </w:pPr>
    </w:lvl>
    <w:lvl w:ilvl="4" w:tplc="FFFFFFFF">
      <w:start w:val="1"/>
      <w:numFmt w:val="lowerLetter"/>
      <w:lvlText w:val="%5."/>
      <w:lvlJc w:val="left"/>
      <w:pPr>
        <w:ind w:left="4046" w:hanging="360"/>
      </w:pPr>
    </w:lvl>
    <w:lvl w:ilvl="5" w:tplc="FFFFFFFF">
      <w:start w:val="1"/>
      <w:numFmt w:val="lowerRoman"/>
      <w:lvlText w:val="%6."/>
      <w:lvlJc w:val="right"/>
      <w:pPr>
        <w:ind w:left="4766" w:hanging="180"/>
      </w:pPr>
    </w:lvl>
    <w:lvl w:ilvl="6" w:tplc="FFFFFFFF">
      <w:start w:val="1"/>
      <w:numFmt w:val="decimal"/>
      <w:lvlText w:val="%7."/>
      <w:lvlJc w:val="left"/>
      <w:pPr>
        <w:ind w:left="5486" w:hanging="360"/>
      </w:pPr>
    </w:lvl>
    <w:lvl w:ilvl="7" w:tplc="FFFFFFFF">
      <w:start w:val="1"/>
      <w:numFmt w:val="lowerLetter"/>
      <w:lvlText w:val="%8."/>
      <w:lvlJc w:val="left"/>
      <w:pPr>
        <w:ind w:left="6206" w:hanging="360"/>
      </w:pPr>
    </w:lvl>
    <w:lvl w:ilvl="8" w:tplc="FFFFFFFF">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ADF36F9"/>
    <w:multiLevelType w:val="hybridMultilevel"/>
    <w:tmpl w:val="00000000"/>
    <w:lvl w:ilvl="0" w:tplc="FFFFFFFF">
      <w:start w:val="3"/>
      <w:numFmt w:val="lowerLetter"/>
      <w:lvlText w:val="(%1)"/>
      <w:lvlJc w:val="left"/>
      <w:pPr>
        <w:ind w:left="726" w:hanging="726"/>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nsid w:val="0B2F3578"/>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0B4E724C"/>
    <w:multiLevelType w:val="hybridMultilevel"/>
    <w:tmpl w:val="0000000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0">
    <w:nsid w:val="120202A8"/>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3B37957"/>
    <w:multiLevelType w:val="hybridMultilevel"/>
    <w:tmpl w:val="00000000"/>
    <w:lvl w:ilvl="0" w:tplc="FFFFFFFF">
      <w:start w:val="1"/>
      <w:numFmt w:val="upperRoman"/>
      <w:lvlText w:val="%1."/>
      <w:lvlJc w:val="right"/>
      <w:pPr>
        <w:ind w:left="180" w:hanging="18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2">
    <w:nsid w:val="15FE575E"/>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3">
    <w:nsid w:val="16003AC4"/>
    <w:multiLevelType w:val="hybridMultilevel"/>
    <w:tmpl w:val="751E632E"/>
    <w:lvl w:ilvl="0" w:tplc="0400D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0B6362"/>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16A26856"/>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18B0609B"/>
    <w:multiLevelType w:val="hybridMultilevel"/>
    <w:tmpl w:val="F22E6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F10FF"/>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1F3C0341"/>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1FCF72EB"/>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20436908"/>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311A6279"/>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2261124"/>
    <w:multiLevelType w:val="hybridMultilevel"/>
    <w:tmpl w:val="00000000"/>
    <w:lvl w:ilvl="0" w:tplc="FFFFFFFF">
      <w:start w:val="2"/>
      <w:numFmt w:val="bullet"/>
      <w:lvlText w:val="-"/>
      <w:lvlJc w:val="left"/>
      <w:pPr>
        <w:ind w:left="543" w:hanging="360"/>
      </w:pPr>
      <w:rPr>
        <w:rFonts w:ascii="Calibri" w:eastAsia="Calibri" w:hAnsi="Calibri" w:cs="Calibri"/>
      </w:rPr>
    </w:lvl>
    <w:lvl w:ilvl="1" w:tplc="FFFFFFFF">
      <w:start w:val="1"/>
      <w:numFmt w:val="bullet"/>
      <w:lvlText w:val="o"/>
      <w:lvlJc w:val="left"/>
      <w:pPr>
        <w:ind w:left="1263" w:hanging="360"/>
      </w:pPr>
      <w:rPr>
        <w:rFonts w:ascii="Courier New" w:hAnsi="Courier New" w:cs="Courier New"/>
      </w:rPr>
    </w:lvl>
    <w:lvl w:ilvl="2" w:tplc="FFFFFFFF">
      <w:start w:val="1"/>
      <w:numFmt w:val="bullet"/>
      <w:lvlText w:val=""/>
      <w:lvlJc w:val="left"/>
      <w:pPr>
        <w:ind w:left="1983" w:hanging="360"/>
      </w:pPr>
      <w:rPr>
        <w:rFonts w:ascii="Wingdings" w:hAnsi="Wingdings"/>
      </w:rPr>
    </w:lvl>
    <w:lvl w:ilvl="3" w:tplc="FFFFFFFF">
      <w:start w:val="1"/>
      <w:numFmt w:val="bullet"/>
      <w:lvlText w:val=""/>
      <w:lvlJc w:val="left"/>
      <w:pPr>
        <w:ind w:left="2703" w:hanging="360"/>
      </w:pPr>
      <w:rPr>
        <w:rFonts w:ascii="Symbol" w:hAnsi="Symbol"/>
      </w:rPr>
    </w:lvl>
    <w:lvl w:ilvl="4" w:tplc="FFFFFFFF">
      <w:start w:val="1"/>
      <w:numFmt w:val="bullet"/>
      <w:lvlText w:val="o"/>
      <w:lvlJc w:val="left"/>
      <w:pPr>
        <w:ind w:left="3423" w:hanging="360"/>
      </w:pPr>
      <w:rPr>
        <w:rFonts w:ascii="Courier New" w:hAnsi="Courier New" w:cs="Courier New"/>
      </w:rPr>
    </w:lvl>
    <w:lvl w:ilvl="5" w:tplc="FFFFFFFF">
      <w:start w:val="1"/>
      <w:numFmt w:val="bullet"/>
      <w:lvlText w:val=""/>
      <w:lvlJc w:val="left"/>
      <w:pPr>
        <w:ind w:left="4143" w:hanging="360"/>
      </w:pPr>
      <w:rPr>
        <w:rFonts w:ascii="Wingdings" w:hAnsi="Wingdings"/>
      </w:rPr>
    </w:lvl>
    <w:lvl w:ilvl="6" w:tplc="FFFFFFFF">
      <w:start w:val="1"/>
      <w:numFmt w:val="bullet"/>
      <w:lvlText w:val=""/>
      <w:lvlJc w:val="left"/>
      <w:pPr>
        <w:ind w:left="4863" w:hanging="360"/>
      </w:pPr>
      <w:rPr>
        <w:rFonts w:ascii="Symbol" w:hAnsi="Symbol"/>
      </w:rPr>
    </w:lvl>
    <w:lvl w:ilvl="7" w:tplc="FFFFFFFF">
      <w:start w:val="1"/>
      <w:numFmt w:val="bullet"/>
      <w:lvlText w:val="o"/>
      <w:lvlJc w:val="left"/>
      <w:pPr>
        <w:ind w:left="5583" w:hanging="360"/>
      </w:pPr>
      <w:rPr>
        <w:rFonts w:ascii="Courier New" w:hAnsi="Courier New" w:cs="Courier New"/>
      </w:rPr>
    </w:lvl>
    <w:lvl w:ilvl="8" w:tplc="FFFFFFFF">
      <w:start w:val="1"/>
      <w:numFmt w:val="bullet"/>
      <w:lvlText w:val=""/>
      <w:lvlJc w:val="left"/>
      <w:pPr>
        <w:ind w:left="6303" w:hanging="360"/>
      </w:pPr>
      <w:rPr>
        <w:rFonts w:ascii="Wingdings" w:hAnsi="Wingdings"/>
      </w:rPr>
    </w:lvl>
  </w:abstractNum>
  <w:abstractNum w:abstractNumId="23">
    <w:nsid w:val="33A91562"/>
    <w:multiLevelType w:val="hybridMultilevel"/>
    <w:tmpl w:val="00000000"/>
    <w:lvl w:ilvl="0" w:tplc="FFFFFFFF">
      <w:start w:val="1"/>
      <w:numFmt w:val="decimal"/>
      <w:lvlText w:val="(%1)"/>
      <w:lvlJc w:val="left"/>
      <w:pPr>
        <w:ind w:left="1440" w:hanging="720"/>
      </w:pPr>
      <w:rPr>
        <w:rFonts w:ascii="Arial" w:hAnsi="Arial" w:cs="Arial"/>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nsid w:val="418D773D"/>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nsid w:val="41A235F8"/>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7">
    <w:nsid w:val="47CB7D3F"/>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4854081E"/>
    <w:multiLevelType w:val="hybridMultilevel"/>
    <w:tmpl w:val="00000000"/>
    <w:lvl w:ilvl="0" w:tplc="FFFFFFFF">
      <w:start w:val="1"/>
      <w:numFmt w:val="upperRoman"/>
      <w:lvlText w:val="%1."/>
      <w:lvlJc w:val="right"/>
      <w:pPr>
        <w:ind w:left="540" w:hanging="180"/>
      </w:pPr>
    </w:lvl>
    <w:lvl w:ilvl="1" w:tplc="FFFFFFFF">
      <w:start w:val="1"/>
      <w:numFmt w:val="upperRoman"/>
      <w:lvlText w:val="%2."/>
      <w:lvlJc w:val="right"/>
      <w:pPr>
        <w:ind w:left="1260" w:hanging="18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9">
    <w:nsid w:val="57907EA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4142A49"/>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6465880"/>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2">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3">
    <w:nsid w:val="78535EDB"/>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7900546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7FD322A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8"/>
  </w:num>
  <w:num w:numId="3">
    <w:abstractNumId w:val="24"/>
  </w:num>
  <w:num w:numId="4">
    <w:abstractNumId w:val="19"/>
  </w:num>
  <w:num w:numId="5">
    <w:abstractNumId w:val="15"/>
  </w:num>
  <w:num w:numId="6">
    <w:abstractNumId w:val="31"/>
  </w:num>
  <w:num w:numId="7">
    <w:abstractNumId w:val="4"/>
  </w:num>
  <w:num w:numId="8">
    <w:abstractNumId w:val="3"/>
  </w:num>
  <w:num w:numId="9">
    <w:abstractNumId w:val="28"/>
  </w:num>
  <w:num w:numId="10">
    <w:abstractNumId w:val="11"/>
  </w:num>
  <w:num w:numId="11">
    <w:abstractNumId w:val="7"/>
  </w:num>
  <w:num w:numId="12">
    <w:abstractNumId w:val="0"/>
  </w:num>
  <w:num w:numId="13">
    <w:abstractNumId w:val="23"/>
  </w:num>
  <w:num w:numId="14">
    <w:abstractNumId w:val="1"/>
  </w:num>
  <w:num w:numId="15">
    <w:abstractNumId w:val="17"/>
  </w:num>
  <w:num w:numId="16">
    <w:abstractNumId w:val="5"/>
  </w:num>
  <w:num w:numId="17">
    <w:abstractNumId w:val="12"/>
  </w:num>
  <w:num w:numId="18">
    <w:abstractNumId w:val="9"/>
  </w:num>
  <w:num w:numId="19">
    <w:abstractNumId w:val="10"/>
  </w:num>
  <w:num w:numId="20">
    <w:abstractNumId w:val="33"/>
  </w:num>
  <w:num w:numId="21">
    <w:abstractNumId w:val="14"/>
  </w:num>
  <w:num w:numId="22">
    <w:abstractNumId w:val="29"/>
  </w:num>
  <w:num w:numId="23">
    <w:abstractNumId w:val="18"/>
  </w:num>
  <w:num w:numId="24">
    <w:abstractNumId w:val="25"/>
  </w:num>
  <w:num w:numId="25">
    <w:abstractNumId w:val="34"/>
  </w:num>
  <w:num w:numId="26">
    <w:abstractNumId w:val="22"/>
  </w:num>
  <w:num w:numId="27">
    <w:abstractNumId w:val="27"/>
  </w:num>
  <w:num w:numId="28">
    <w:abstractNumId w:val="21"/>
  </w:num>
  <w:num w:numId="29">
    <w:abstractNumId w:val="36"/>
  </w:num>
  <w:num w:numId="30">
    <w:abstractNumId w:val="30"/>
  </w:num>
  <w:num w:numId="31">
    <w:abstractNumId w:val="20"/>
  </w:num>
  <w:num w:numId="32">
    <w:abstractNumId w:val="6"/>
  </w:num>
  <w:num w:numId="33">
    <w:abstractNumId w:val="32"/>
  </w:num>
  <w:num w:numId="34">
    <w:abstractNumId w:val="2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5F31"/>
    <w:rsid w:val="00012C37"/>
    <w:rsid w:val="00023FC9"/>
    <w:rsid w:val="00046B0A"/>
    <w:rsid w:val="00060027"/>
    <w:rsid w:val="00091A0C"/>
    <w:rsid w:val="000947C1"/>
    <w:rsid w:val="000E3583"/>
    <w:rsid w:val="000E752B"/>
    <w:rsid w:val="000F4416"/>
    <w:rsid w:val="000F7FBF"/>
    <w:rsid w:val="00115058"/>
    <w:rsid w:val="001201E7"/>
    <w:rsid w:val="0012636B"/>
    <w:rsid w:val="00140F57"/>
    <w:rsid w:val="00155C87"/>
    <w:rsid w:val="00164B46"/>
    <w:rsid w:val="001A1EEF"/>
    <w:rsid w:val="001B21D4"/>
    <w:rsid w:val="001B31C1"/>
    <w:rsid w:val="001C4281"/>
    <w:rsid w:val="0024379A"/>
    <w:rsid w:val="002548C4"/>
    <w:rsid w:val="002651A7"/>
    <w:rsid w:val="00276185"/>
    <w:rsid w:val="002B232F"/>
    <w:rsid w:val="002B2788"/>
    <w:rsid w:val="002B5F7E"/>
    <w:rsid w:val="002C5337"/>
    <w:rsid w:val="002F6BEA"/>
    <w:rsid w:val="00303574"/>
    <w:rsid w:val="00334D0A"/>
    <w:rsid w:val="00344792"/>
    <w:rsid w:val="00385D83"/>
    <w:rsid w:val="0039381B"/>
    <w:rsid w:val="003A7E59"/>
    <w:rsid w:val="003E77CE"/>
    <w:rsid w:val="00456CE4"/>
    <w:rsid w:val="004631D4"/>
    <w:rsid w:val="004665A9"/>
    <w:rsid w:val="00472994"/>
    <w:rsid w:val="0048023F"/>
    <w:rsid w:val="004869FA"/>
    <w:rsid w:val="004C7138"/>
    <w:rsid w:val="004E7AC8"/>
    <w:rsid w:val="00505841"/>
    <w:rsid w:val="005201ED"/>
    <w:rsid w:val="005369DD"/>
    <w:rsid w:val="005419D4"/>
    <w:rsid w:val="005653C9"/>
    <w:rsid w:val="00572EEE"/>
    <w:rsid w:val="0058260B"/>
    <w:rsid w:val="00590E9C"/>
    <w:rsid w:val="005A1B2F"/>
    <w:rsid w:val="005B4587"/>
    <w:rsid w:val="005B508E"/>
    <w:rsid w:val="005C5ECF"/>
    <w:rsid w:val="006472DB"/>
    <w:rsid w:val="00672011"/>
    <w:rsid w:val="00672E28"/>
    <w:rsid w:val="006738E4"/>
    <w:rsid w:val="006771B9"/>
    <w:rsid w:val="006A2EA9"/>
    <w:rsid w:val="006A6809"/>
    <w:rsid w:val="006C57BA"/>
    <w:rsid w:val="006E1277"/>
    <w:rsid w:val="007000A7"/>
    <w:rsid w:val="007244D1"/>
    <w:rsid w:val="00737917"/>
    <w:rsid w:val="00746CB7"/>
    <w:rsid w:val="007876BF"/>
    <w:rsid w:val="00791989"/>
    <w:rsid w:val="00794AB6"/>
    <w:rsid w:val="007A3F71"/>
    <w:rsid w:val="007B4233"/>
    <w:rsid w:val="007B7F61"/>
    <w:rsid w:val="00804A30"/>
    <w:rsid w:val="00807D9C"/>
    <w:rsid w:val="00815BFC"/>
    <w:rsid w:val="00904126"/>
    <w:rsid w:val="00907E15"/>
    <w:rsid w:val="009156C8"/>
    <w:rsid w:val="00935FF2"/>
    <w:rsid w:val="00966576"/>
    <w:rsid w:val="00995105"/>
    <w:rsid w:val="00996D41"/>
    <w:rsid w:val="009B46E6"/>
    <w:rsid w:val="009C4681"/>
    <w:rsid w:val="009E48B2"/>
    <w:rsid w:val="009F2850"/>
    <w:rsid w:val="00A035E8"/>
    <w:rsid w:val="00A10B66"/>
    <w:rsid w:val="00A21372"/>
    <w:rsid w:val="00A337C4"/>
    <w:rsid w:val="00A347A1"/>
    <w:rsid w:val="00A55586"/>
    <w:rsid w:val="00A55608"/>
    <w:rsid w:val="00A56B0E"/>
    <w:rsid w:val="00A7422F"/>
    <w:rsid w:val="00A82A76"/>
    <w:rsid w:val="00AB5E02"/>
    <w:rsid w:val="00AB6E29"/>
    <w:rsid w:val="00AD2F56"/>
    <w:rsid w:val="00AE320E"/>
    <w:rsid w:val="00B07515"/>
    <w:rsid w:val="00B47AEC"/>
    <w:rsid w:val="00B879E0"/>
    <w:rsid w:val="00B93B80"/>
    <w:rsid w:val="00BE641E"/>
    <w:rsid w:val="00C07456"/>
    <w:rsid w:val="00C17DF1"/>
    <w:rsid w:val="00C754F1"/>
    <w:rsid w:val="00C82683"/>
    <w:rsid w:val="00C85973"/>
    <w:rsid w:val="00C95A9A"/>
    <w:rsid w:val="00CC645F"/>
    <w:rsid w:val="00CD194C"/>
    <w:rsid w:val="00CE13BA"/>
    <w:rsid w:val="00CE7E6F"/>
    <w:rsid w:val="00D664DD"/>
    <w:rsid w:val="00D912FD"/>
    <w:rsid w:val="00D93DD5"/>
    <w:rsid w:val="00DB67B6"/>
    <w:rsid w:val="00DD0D31"/>
    <w:rsid w:val="00E177AB"/>
    <w:rsid w:val="00E30B39"/>
    <w:rsid w:val="00E8630C"/>
    <w:rsid w:val="00E9600C"/>
    <w:rsid w:val="00EA3576"/>
    <w:rsid w:val="00EA4401"/>
    <w:rsid w:val="00EA5EAB"/>
    <w:rsid w:val="00EC7E65"/>
    <w:rsid w:val="00EE77F4"/>
    <w:rsid w:val="00EF69FD"/>
    <w:rsid w:val="00F2111D"/>
    <w:rsid w:val="00F249B4"/>
    <w:rsid w:val="00F26402"/>
    <w:rsid w:val="00F8481F"/>
    <w:rsid w:val="00F903CB"/>
    <w:rsid w:val="00F974E2"/>
    <w:rsid w:val="00FC7ED5"/>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 Char Char Char Char,Indicator Text Char,Colorful List - Accent 11 Char,Numbered Para 1 Char,Bullet 1 Char,Bullet Points Char,List Paragraph2 Char,MAIN CONTENT Char,3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5826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60027"/>
    <w:rPr>
      <w:sz w:val="16"/>
      <w:szCs w:val="16"/>
    </w:rPr>
  </w:style>
  <w:style w:type="paragraph" w:styleId="CommentText">
    <w:name w:val="annotation text"/>
    <w:basedOn w:val="Normal"/>
    <w:link w:val="CommentTextChar1"/>
    <w:uiPriority w:val="99"/>
    <w:semiHidden/>
    <w:unhideWhenUsed/>
    <w:rsid w:val="00060027"/>
    <w:rPr>
      <w:sz w:val="20"/>
      <w:szCs w:val="20"/>
    </w:rPr>
  </w:style>
  <w:style w:type="character" w:customStyle="1" w:styleId="CommentTextChar1">
    <w:name w:val="Comment Text Char1"/>
    <w:link w:val="CommentText"/>
    <w:uiPriority w:val="99"/>
    <w:semiHidden/>
    <w:rsid w:val="00060027"/>
    <w:rPr>
      <w:lang w:eastAsia="en-ZA"/>
    </w:r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837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2022-02-15T12:01:00Z</cp:lastPrinted>
  <dcterms:created xsi:type="dcterms:W3CDTF">2022-03-04T14:51:00Z</dcterms:created>
  <dcterms:modified xsi:type="dcterms:W3CDTF">2022-03-04T14:51:00Z</dcterms:modified>
</cp:coreProperties>
</file>