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EB0E71" w:rsidRDefault="00095CFC" w:rsidP="008B3451">
      <w:pPr>
        <w:spacing w:line="360" w:lineRule="auto"/>
        <w:jc w:val="both"/>
        <w:rPr>
          <w:rFonts w:ascii="Arial" w:hAnsi="Arial" w:cs="Arial"/>
        </w:rPr>
      </w:pPr>
    </w:p>
    <w:p w14:paraId="6C596C86" w14:textId="77777777" w:rsidR="00F50026" w:rsidRPr="00E53AD8" w:rsidRDefault="00F50026" w:rsidP="00F50026">
      <w:pPr>
        <w:pStyle w:val="Heading6"/>
        <w:spacing w:before="240" w:line="360" w:lineRule="auto"/>
        <w:jc w:val="left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3DA52F2A" w14:textId="77777777" w:rsidR="00F50026" w:rsidRPr="00052736" w:rsidRDefault="00F50026" w:rsidP="00F50026">
      <w:pPr>
        <w:pStyle w:val="Heading6"/>
        <w:spacing w:before="240" w:line="360" w:lineRule="auto"/>
        <w:jc w:val="left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Pr="00052736">
        <w:rPr>
          <w:rFonts w:cs="Arial"/>
          <w:sz w:val="22"/>
          <w:szCs w:val="22"/>
          <w:u w:val="none"/>
          <w:lang w:val="en-ZA"/>
        </w:rPr>
        <w:t>1</w:t>
      </w:r>
      <w:r>
        <w:rPr>
          <w:rFonts w:cs="Arial"/>
          <w:sz w:val="22"/>
          <w:szCs w:val="22"/>
          <w:u w:val="none"/>
          <w:lang w:val="en-ZA"/>
        </w:rPr>
        <w:t>804</w:t>
      </w:r>
    </w:p>
    <w:p w14:paraId="050F3A0D" w14:textId="77777777" w:rsidR="00F50026" w:rsidRDefault="00F50026" w:rsidP="00F50026">
      <w:pPr>
        <w:spacing w:after="0" w:line="360" w:lineRule="auto"/>
        <w:rPr>
          <w:rFonts w:ascii="Arial" w:hAnsi="Arial" w:cs="Arial"/>
          <w:lang w:val="en-ZA" w:eastAsia="x-none"/>
        </w:rPr>
      </w:pPr>
    </w:p>
    <w:p w14:paraId="3432A564" w14:textId="548D555F" w:rsidR="00F50026" w:rsidRPr="00A654AA" w:rsidRDefault="00F50026" w:rsidP="00F50026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lang w:val="en-GB"/>
        </w:rPr>
      </w:pPr>
      <w:r w:rsidRPr="00A654AA">
        <w:rPr>
          <w:rFonts w:ascii="Arial" w:hAnsi="Arial" w:cs="Arial"/>
          <w:b/>
          <w:lang w:val="en-GB"/>
        </w:rPr>
        <w:t>Mr M S F de Freitas (DA) to ask the Minister of Transport:</w:t>
      </w:r>
    </w:p>
    <w:p w14:paraId="1DFC1221" w14:textId="77777777" w:rsidR="00F50026" w:rsidRDefault="00F50026" w:rsidP="00F50026">
      <w:pPr>
        <w:spacing w:before="100" w:beforeAutospacing="1" w:after="0" w:line="360" w:lineRule="auto"/>
        <w:ind w:left="709"/>
        <w:rPr>
          <w:rFonts w:ascii="Arial" w:hAnsi="Arial" w:cs="Arial"/>
          <w:lang w:val="en-GB"/>
        </w:rPr>
      </w:pPr>
      <w:r w:rsidRPr="00A654AA">
        <w:rPr>
          <w:rFonts w:ascii="Arial" w:hAnsi="Arial" w:cs="Arial"/>
          <w:lang w:val="en-GB"/>
        </w:rPr>
        <w:t>(a) What number of attachment orders have been received by the Road Accident Fund (i) in each of the past three financial years and (ii) since 1 April 2018, (b) on what date was each order received and (c) what are the reasons that the orders have been received in each case?</w:t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  <w:r w:rsidRPr="00A654AA">
        <w:rPr>
          <w:rFonts w:ascii="Arial" w:hAnsi="Arial" w:cs="Arial"/>
          <w:lang w:val="en-GB"/>
        </w:rPr>
        <w:tab/>
      </w:r>
    </w:p>
    <w:p w14:paraId="15FFCEAA" w14:textId="3E74B2CC" w:rsidR="00F50026" w:rsidRPr="00F50026" w:rsidRDefault="00F50026" w:rsidP="00F50026">
      <w:pPr>
        <w:spacing w:before="100" w:beforeAutospacing="1" w:after="0" w:line="360" w:lineRule="auto"/>
        <w:ind w:left="8629" w:firstLine="11"/>
        <w:rPr>
          <w:rFonts w:ascii="Arial" w:hAnsi="Arial" w:cs="Arial"/>
          <w:b/>
          <w:lang w:val="en-GB"/>
        </w:rPr>
      </w:pPr>
      <w:r w:rsidRPr="00F50026">
        <w:rPr>
          <w:rFonts w:ascii="Arial" w:hAnsi="Arial" w:cs="Arial"/>
          <w:b/>
          <w:lang w:val="en-GB"/>
        </w:rPr>
        <w:t>NW1963E</w:t>
      </w:r>
    </w:p>
    <w:p w14:paraId="11A8015D" w14:textId="77777777" w:rsidR="00F50026" w:rsidRDefault="00F50026" w:rsidP="00F50026">
      <w:pPr>
        <w:spacing w:line="360" w:lineRule="auto"/>
        <w:rPr>
          <w:rFonts w:ascii="Arial" w:hAnsi="Arial" w:cs="Arial"/>
          <w:b/>
          <w:lang w:val="en-ZA" w:eastAsia="x-none"/>
        </w:rPr>
      </w:pPr>
      <w:r w:rsidRPr="008E6B39">
        <w:rPr>
          <w:rFonts w:ascii="Arial" w:hAnsi="Arial" w:cs="Arial"/>
          <w:b/>
          <w:lang w:val="en-ZA" w:eastAsia="x-none"/>
        </w:rPr>
        <w:t>REPLY:</w:t>
      </w:r>
    </w:p>
    <w:tbl>
      <w:tblPr>
        <w:tblStyle w:val="TableGrid"/>
        <w:tblW w:w="10364" w:type="dxa"/>
        <w:tblInd w:w="-289" w:type="dxa"/>
        <w:tblLook w:val="04A0" w:firstRow="1" w:lastRow="0" w:firstColumn="1" w:lastColumn="0" w:noHBand="0" w:noVBand="1"/>
      </w:tblPr>
      <w:tblGrid>
        <w:gridCol w:w="2552"/>
        <w:gridCol w:w="4253"/>
        <w:gridCol w:w="3559"/>
      </w:tblGrid>
      <w:tr w:rsidR="00F50026" w14:paraId="23970E76" w14:textId="77777777" w:rsidTr="005273D9">
        <w:trPr>
          <w:trHeight w:val="768"/>
        </w:trPr>
        <w:tc>
          <w:tcPr>
            <w:tcW w:w="2552" w:type="dxa"/>
          </w:tcPr>
          <w:p w14:paraId="754909B3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(a) </w:t>
            </w:r>
            <w:r w:rsidRPr="008E6B39">
              <w:rPr>
                <w:rFonts w:ascii="Arial" w:hAnsi="Arial" w:cs="Arial"/>
                <w:lang w:val="en-GB"/>
              </w:rPr>
              <w:t xml:space="preserve">The following </w:t>
            </w:r>
            <w:r>
              <w:rPr>
                <w:rFonts w:ascii="Arial" w:hAnsi="Arial" w:cs="Arial"/>
                <w:lang w:val="en-GB"/>
              </w:rPr>
              <w:t xml:space="preserve">number of </w:t>
            </w:r>
            <w:r w:rsidRPr="008E6B39">
              <w:rPr>
                <w:rFonts w:ascii="Arial" w:hAnsi="Arial" w:cs="Arial"/>
                <w:lang w:val="en-GB"/>
              </w:rPr>
              <w:t>attac</w:t>
            </w:r>
            <w:r>
              <w:rPr>
                <w:rFonts w:ascii="Arial" w:hAnsi="Arial" w:cs="Arial"/>
                <w:lang w:val="en-GB"/>
              </w:rPr>
              <w:t xml:space="preserve">hment orders have been received </w:t>
            </w:r>
            <w:r w:rsidRPr="008E6B39">
              <w:rPr>
                <w:rFonts w:ascii="Arial" w:hAnsi="Arial" w:cs="Arial"/>
                <w:lang w:val="en-GB"/>
              </w:rPr>
              <w:t>by the Road Accident Fund</w:t>
            </w:r>
          </w:p>
        </w:tc>
        <w:tc>
          <w:tcPr>
            <w:tcW w:w="4253" w:type="dxa"/>
          </w:tcPr>
          <w:p w14:paraId="0E060BB8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 w:rsidRPr="008E6B39">
              <w:rPr>
                <w:rFonts w:ascii="Arial" w:hAnsi="Arial" w:cs="Arial"/>
                <w:lang w:val="en-GB"/>
              </w:rPr>
              <w:t xml:space="preserve">(b) </w:t>
            </w:r>
            <w:r>
              <w:rPr>
                <w:rFonts w:ascii="Arial" w:hAnsi="Arial" w:cs="Arial"/>
                <w:lang w:val="en-GB"/>
              </w:rPr>
              <w:t>each order was received on the following date</w:t>
            </w:r>
            <w:r w:rsidRPr="008E6B39">
              <w:rPr>
                <w:rFonts w:ascii="Arial" w:hAnsi="Arial" w:cs="Arial"/>
                <w:lang w:val="en-GB"/>
              </w:rPr>
              <w:t xml:space="preserve"> and</w:t>
            </w:r>
          </w:p>
        </w:tc>
        <w:tc>
          <w:tcPr>
            <w:tcW w:w="3559" w:type="dxa"/>
          </w:tcPr>
          <w:p w14:paraId="18FC56B5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 w:rsidRPr="008E6B39">
              <w:rPr>
                <w:rFonts w:ascii="Arial" w:hAnsi="Arial" w:cs="Arial"/>
                <w:lang w:val="en-GB"/>
              </w:rPr>
              <w:t>(c) the reasons that the orders have been received in each case</w:t>
            </w:r>
            <w:r>
              <w:rPr>
                <w:rFonts w:ascii="Arial" w:hAnsi="Arial" w:cs="Arial"/>
                <w:lang w:val="en-GB"/>
              </w:rPr>
              <w:t xml:space="preserve"> are</w:t>
            </w:r>
          </w:p>
        </w:tc>
      </w:tr>
      <w:tr w:rsidR="00F50026" w14:paraId="6101553E" w14:textId="77777777" w:rsidTr="005273D9">
        <w:trPr>
          <w:trHeight w:val="192"/>
        </w:trPr>
        <w:tc>
          <w:tcPr>
            <w:tcW w:w="10364" w:type="dxa"/>
            <w:gridSpan w:val="3"/>
          </w:tcPr>
          <w:p w14:paraId="75127AE3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 w:rsidRPr="008E6B39">
              <w:rPr>
                <w:rFonts w:ascii="Arial" w:hAnsi="Arial" w:cs="Arial"/>
                <w:lang w:val="en-GB"/>
              </w:rPr>
              <w:t xml:space="preserve">(i) in the </w:t>
            </w:r>
            <w:r>
              <w:rPr>
                <w:rFonts w:ascii="Arial" w:hAnsi="Arial" w:cs="Arial"/>
                <w:lang w:val="en-GB"/>
              </w:rPr>
              <w:t>2015-16</w:t>
            </w:r>
          </w:p>
        </w:tc>
      </w:tr>
      <w:tr w:rsidR="00F50026" w14:paraId="1AE1CE18" w14:textId="77777777" w:rsidTr="005273D9">
        <w:trPr>
          <w:trHeight w:val="1018"/>
        </w:trPr>
        <w:tc>
          <w:tcPr>
            <w:tcW w:w="2552" w:type="dxa"/>
          </w:tcPr>
          <w:p w14:paraId="0B301241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21,373 (Operations)</w:t>
            </w:r>
          </w:p>
          <w:p w14:paraId="4E38FC36" w14:textId="77777777" w:rsidR="00F50026" w:rsidRPr="00E15DA7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Treasury data is readily available. Due to the resources and time required it is not possible to provide the requested data within the time provided.</w:t>
            </w:r>
          </w:p>
        </w:tc>
        <w:tc>
          <w:tcPr>
            <w:tcW w:w="4253" w:type="dxa"/>
          </w:tcPr>
          <w:p w14:paraId="7B309116" w14:textId="77777777" w:rsidR="00F50026" w:rsidRPr="00063D27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due to the quantity of entries involved, </w:t>
            </w:r>
            <w:r w:rsidRPr="00063D27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 xml:space="preserve">human and financial </w:t>
            </w:r>
            <w:r w:rsidRPr="00063D27">
              <w:rPr>
                <w:rFonts w:ascii="Arial" w:hAnsi="Arial" w:cs="Arial"/>
                <w:lang w:val="en-GB"/>
              </w:rPr>
              <w:t xml:space="preserve">resources </w:t>
            </w:r>
            <w:r>
              <w:rPr>
                <w:rFonts w:ascii="Arial" w:hAnsi="Arial" w:cs="Arial"/>
                <w:lang w:val="en-GB"/>
              </w:rPr>
              <w:t xml:space="preserve">that would be </w:t>
            </w:r>
            <w:r w:rsidRPr="00063D27">
              <w:rPr>
                <w:rFonts w:ascii="Arial" w:hAnsi="Arial" w:cs="Arial"/>
                <w:lang w:val="en-GB"/>
              </w:rPr>
              <w:t xml:space="preserve">required to </w:t>
            </w:r>
            <w:r>
              <w:rPr>
                <w:rFonts w:ascii="Arial" w:hAnsi="Arial" w:cs="Arial"/>
                <w:lang w:val="en-GB"/>
              </w:rPr>
              <w:t xml:space="preserve">obtain the relevant documentation and </w:t>
            </w:r>
            <w:r w:rsidRPr="00063D27">
              <w:rPr>
                <w:rFonts w:ascii="Arial" w:hAnsi="Arial" w:cs="Arial"/>
                <w:lang w:val="en-GB"/>
              </w:rPr>
              <w:t xml:space="preserve">manually </w:t>
            </w:r>
            <w:r>
              <w:rPr>
                <w:rFonts w:ascii="Arial" w:hAnsi="Arial" w:cs="Arial"/>
                <w:lang w:val="en-GB"/>
              </w:rPr>
              <w:t>verify and</w:t>
            </w:r>
            <w:r w:rsidRPr="00063D27">
              <w:rPr>
                <w:rFonts w:ascii="Arial" w:hAnsi="Arial" w:cs="Arial"/>
                <w:lang w:val="en-GB"/>
              </w:rPr>
              <w:t>, or</w:t>
            </w:r>
            <w:r>
              <w:rPr>
                <w:rFonts w:ascii="Arial" w:hAnsi="Arial" w:cs="Arial"/>
                <w:lang w:val="en-GB"/>
              </w:rPr>
              <w:t>,</w:t>
            </w:r>
            <w:r w:rsidRPr="00063D27">
              <w:rPr>
                <w:rFonts w:ascii="Arial" w:hAnsi="Arial" w:cs="Arial"/>
                <w:lang w:val="en-GB"/>
              </w:rPr>
              <w:t xml:space="preserve"> augment data collected in the regions</w:t>
            </w:r>
            <w:r>
              <w:rPr>
                <w:rFonts w:ascii="Arial" w:hAnsi="Arial" w:cs="Arial"/>
                <w:lang w:val="en-GB"/>
              </w:rPr>
              <w:t xml:space="preserve"> on separate registers resulting in the lack of uniformity of data, i</w:t>
            </w:r>
            <w:r w:rsidRPr="00063D27">
              <w:rPr>
                <w:rFonts w:ascii="Arial" w:hAnsi="Arial" w:cs="Arial"/>
                <w:lang w:val="en-GB"/>
              </w:rPr>
              <w:t>t is not feasible to provide the requested data within</w:t>
            </w:r>
            <w:r>
              <w:rPr>
                <w:rFonts w:ascii="Arial" w:hAnsi="Arial" w:cs="Arial"/>
                <w:lang w:val="en-GB"/>
              </w:rPr>
              <w:t xml:space="preserve"> the </w:t>
            </w:r>
            <w:r w:rsidRPr="00063D27">
              <w:rPr>
                <w:rFonts w:ascii="Arial" w:hAnsi="Arial" w:cs="Arial"/>
                <w:lang w:val="en-GB"/>
              </w:rPr>
              <w:t>time</w:t>
            </w:r>
            <w:r>
              <w:rPr>
                <w:rFonts w:ascii="Arial" w:hAnsi="Arial" w:cs="Arial"/>
                <w:lang w:val="en-GB"/>
              </w:rPr>
              <w:t xml:space="preserve"> provided </w:t>
            </w:r>
          </w:p>
        </w:tc>
        <w:tc>
          <w:tcPr>
            <w:tcW w:w="3559" w:type="dxa"/>
          </w:tcPr>
          <w:p w14:paraId="113AE14C" w14:textId="77777777" w:rsidR="00F50026" w:rsidRPr="00063D27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reasons insufficient </w:t>
            </w:r>
            <w:r w:rsidRPr="00063D27">
              <w:rPr>
                <w:rFonts w:ascii="Arial" w:hAnsi="Arial" w:cs="Arial"/>
                <w:lang w:val="en-GB"/>
              </w:rPr>
              <w:t xml:space="preserve">cash flow </w:t>
            </w:r>
            <w:r>
              <w:rPr>
                <w:rFonts w:ascii="Arial" w:hAnsi="Arial" w:cs="Arial"/>
                <w:lang w:val="en-GB"/>
              </w:rPr>
              <w:t>due to underfunding</w:t>
            </w:r>
            <w:r w:rsidRPr="00063D27">
              <w:rPr>
                <w:rFonts w:ascii="Arial" w:hAnsi="Arial" w:cs="Arial"/>
                <w:lang w:val="en-GB"/>
              </w:rPr>
              <w:t>, late</w:t>
            </w:r>
            <w:r>
              <w:rPr>
                <w:rFonts w:ascii="Arial" w:hAnsi="Arial" w:cs="Arial"/>
                <w:lang w:val="en-GB"/>
              </w:rPr>
              <w:t xml:space="preserve"> payment of costs,</w:t>
            </w:r>
            <w:r w:rsidRPr="00063D27">
              <w:rPr>
                <w:rFonts w:ascii="Arial" w:hAnsi="Arial" w:cs="Arial"/>
                <w:lang w:val="en-GB"/>
              </w:rPr>
              <w:t xml:space="preserve"> late payment of capital, late submission of documents by attorneys, </w:t>
            </w:r>
            <w:r>
              <w:rPr>
                <w:rFonts w:ascii="Arial" w:hAnsi="Arial" w:cs="Arial"/>
                <w:lang w:val="en-GB"/>
              </w:rPr>
              <w:t xml:space="preserve">during handover by </w:t>
            </w:r>
            <w:r w:rsidRPr="00063D27">
              <w:rPr>
                <w:rFonts w:ascii="Arial" w:hAnsi="Arial" w:cs="Arial"/>
                <w:lang w:val="en-GB"/>
              </w:rPr>
              <w:t xml:space="preserve">panel </w:t>
            </w:r>
            <w:r>
              <w:rPr>
                <w:rFonts w:ascii="Arial" w:hAnsi="Arial" w:cs="Arial"/>
                <w:lang w:val="en-GB"/>
              </w:rPr>
              <w:t>attorneys</w:t>
            </w:r>
            <w:r w:rsidRPr="00063D27">
              <w:rPr>
                <w:rFonts w:ascii="Arial" w:hAnsi="Arial" w:cs="Arial"/>
                <w:lang w:val="en-GB"/>
              </w:rPr>
              <w:t>, invalid writs and</w:t>
            </w:r>
            <w:r>
              <w:rPr>
                <w:rFonts w:ascii="Arial" w:hAnsi="Arial" w:cs="Arial"/>
                <w:lang w:val="en-GB"/>
              </w:rPr>
              <w:t xml:space="preserve"> reasons other than the above.</w:t>
            </w:r>
          </w:p>
        </w:tc>
      </w:tr>
      <w:tr w:rsidR="00F50026" w14:paraId="5F2138E5" w14:textId="77777777" w:rsidTr="005273D9">
        <w:trPr>
          <w:trHeight w:val="192"/>
        </w:trPr>
        <w:tc>
          <w:tcPr>
            <w:tcW w:w="10364" w:type="dxa"/>
            <w:gridSpan w:val="3"/>
          </w:tcPr>
          <w:p w14:paraId="63AC2C02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2016- 17; </w:t>
            </w:r>
          </w:p>
        </w:tc>
      </w:tr>
      <w:tr w:rsidR="00F50026" w14:paraId="062EBA38" w14:textId="77777777" w:rsidTr="005273D9">
        <w:trPr>
          <w:trHeight w:val="1440"/>
        </w:trPr>
        <w:tc>
          <w:tcPr>
            <w:tcW w:w="2552" w:type="dxa"/>
          </w:tcPr>
          <w:p w14:paraId="18907FD0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16,786 (Operations)</w:t>
            </w:r>
          </w:p>
          <w:p w14:paraId="7A840123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91 (Treasury)</w:t>
            </w:r>
          </w:p>
          <w:p w14:paraId="352C8CDC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4253" w:type="dxa"/>
          </w:tcPr>
          <w:p w14:paraId="09249231" w14:textId="77777777" w:rsidR="00F50026" w:rsidRPr="00D14D61" w:rsidRDefault="00F50026" w:rsidP="00F50026">
            <w:pPr>
              <w:spacing w:line="360" w:lineRule="auto"/>
              <w:rPr>
                <w:highlight w:val="yellow"/>
              </w:rPr>
            </w:pPr>
            <w:r>
              <w:rPr>
                <w:rFonts w:ascii="Arial" w:hAnsi="Arial" w:cs="Arial"/>
                <w:lang w:val="en-GB"/>
              </w:rPr>
              <w:t xml:space="preserve">due to the quantity of entries involved, </w:t>
            </w:r>
            <w:r w:rsidRPr="00063D27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 xml:space="preserve">human and financial </w:t>
            </w:r>
            <w:r w:rsidRPr="00063D27">
              <w:rPr>
                <w:rFonts w:ascii="Arial" w:hAnsi="Arial" w:cs="Arial"/>
                <w:lang w:val="en-GB"/>
              </w:rPr>
              <w:t xml:space="preserve">resources </w:t>
            </w:r>
            <w:r>
              <w:rPr>
                <w:rFonts w:ascii="Arial" w:hAnsi="Arial" w:cs="Arial"/>
                <w:lang w:val="en-GB"/>
              </w:rPr>
              <w:t xml:space="preserve">that would be </w:t>
            </w:r>
            <w:r w:rsidRPr="00063D27">
              <w:rPr>
                <w:rFonts w:ascii="Arial" w:hAnsi="Arial" w:cs="Arial"/>
                <w:lang w:val="en-GB"/>
              </w:rPr>
              <w:t xml:space="preserve">required to </w:t>
            </w:r>
            <w:r>
              <w:rPr>
                <w:rFonts w:ascii="Arial" w:hAnsi="Arial" w:cs="Arial"/>
                <w:lang w:val="en-GB"/>
              </w:rPr>
              <w:t xml:space="preserve">obtain the relevant documentation and </w:t>
            </w:r>
            <w:r w:rsidRPr="00063D27">
              <w:rPr>
                <w:rFonts w:ascii="Arial" w:hAnsi="Arial" w:cs="Arial"/>
                <w:lang w:val="en-GB"/>
              </w:rPr>
              <w:t xml:space="preserve">manually </w:t>
            </w:r>
            <w:r>
              <w:rPr>
                <w:rFonts w:ascii="Arial" w:hAnsi="Arial" w:cs="Arial"/>
                <w:lang w:val="en-GB"/>
              </w:rPr>
              <w:t>verify and</w:t>
            </w:r>
            <w:r w:rsidRPr="00063D27">
              <w:rPr>
                <w:rFonts w:ascii="Arial" w:hAnsi="Arial" w:cs="Arial"/>
                <w:lang w:val="en-GB"/>
              </w:rPr>
              <w:t>, or</w:t>
            </w:r>
            <w:r>
              <w:rPr>
                <w:rFonts w:ascii="Arial" w:hAnsi="Arial" w:cs="Arial"/>
                <w:lang w:val="en-GB"/>
              </w:rPr>
              <w:t>,</w:t>
            </w:r>
            <w:r w:rsidRPr="00063D27">
              <w:rPr>
                <w:rFonts w:ascii="Arial" w:hAnsi="Arial" w:cs="Arial"/>
                <w:lang w:val="en-GB"/>
              </w:rPr>
              <w:t xml:space="preserve"> augment data collected in the regions</w:t>
            </w:r>
            <w:r>
              <w:rPr>
                <w:rFonts w:ascii="Arial" w:hAnsi="Arial" w:cs="Arial"/>
                <w:lang w:val="en-GB"/>
              </w:rPr>
              <w:t xml:space="preserve"> on separate registers resulting in the lack of uniformity of data, i</w:t>
            </w:r>
            <w:r w:rsidRPr="00063D27">
              <w:rPr>
                <w:rFonts w:ascii="Arial" w:hAnsi="Arial" w:cs="Arial"/>
                <w:lang w:val="en-GB"/>
              </w:rPr>
              <w:t xml:space="preserve">t is not feasible to </w:t>
            </w:r>
            <w:r w:rsidRPr="00063D27">
              <w:rPr>
                <w:rFonts w:ascii="Arial" w:hAnsi="Arial" w:cs="Arial"/>
                <w:lang w:val="en-GB"/>
              </w:rPr>
              <w:lastRenderedPageBreak/>
              <w:t>provide the requested data within</w:t>
            </w:r>
            <w:r>
              <w:rPr>
                <w:rFonts w:ascii="Arial" w:hAnsi="Arial" w:cs="Arial"/>
                <w:lang w:val="en-GB"/>
              </w:rPr>
              <w:t xml:space="preserve"> the </w:t>
            </w:r>
            <w:r w:rsidRPr="00063D27">
              <w:rPr>
                <w:rFonts w:ascii="Arial" w:hAnsi="Arial" w:cs="Arial"/>
                <w:lang w:val="en-GB"/>
              </w:rPr>
              <w:t>time</w:t>
            </w:r>
            <w:r>
              <w:rPr>
                <w:rFonts w:ascii="Arial" w:hAnsi="Arial" w:cs="Arial"/>
                <w:lang w:val="en-GB"/>
              </w:rPr>
              <w:t xml:space="preserve"> provided</w:t>
            </w:r>
          </w:p>
        </w:tc>
        <w:tc>
          <w:tcPr>
            <w:tcW w:w="3559" w:type="dxa"/>
          </w:tcPr>
          <w:p w14:paraId="5B09131A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highlight w:val="yellow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The reasons include insufficient </w:t>
            </w:r>
            <w:r w:rsidRPr="00063D27">
              <w:rPr>
                <w:rFonts w:ascii="Arial" w:hAnsi="Arial" w:cs="Arial"/>
                <w:lang w:val="en-GB"/>
              </w:rPr>
              <w:t xml:space="preserve">cash flow </w:t>
            </w:r>
            <w:r>
              <w:rPr>
                <w:rFonts w:ascii="Arial" w:hAnsi="Arial" w:cs="Arial"/>
                <w:lang w:val="en-GB"/>
              </w:rPr>
              <w:t>due to underfunding,</w:t>
            </w:r>
            <w:r w:rsidRPr="003C5BCC">
              <w:rPr>
                <w:rFonts w:ascii="Arial" w:hAnsi="Arial" w:cs="Arial"/>
                <w:lang w:val="en-GB"/>
              </w:rPr>
              <w:t xml:space="preserve"> late payment of costs, late payment of capital, late submission of documents by attorneys, during</w:t>
            </w:r>
            <w:r>
              <w:rPr>
                <w:rFonts w:ascii="Arial" w:hAnsi="Arial" w:cs="Arial"/>
                <w:lang w:val="en-GB"/>
              </w:rPr>
              <w:t xml:space="preserve"> handover by </w:t>
            </w:r>
            <w:r w:rsidRPr="00063D27">
              <w:rPr>
                <w:rFonts w:ascii="Arial" w:hAnsi="Arial" w:cs="Arial"/>
                <w:lang w:val="en-GB"/>
              </w:rPr>
              <w:lastRenderedPageBreak/>
              <w:t xml:space="preserve">panel </w:t>
            </w:r>
            <w:r>
              <w:rPr>
                <w:rFonts w:ascii="Arial" w:hAnsi="Arial" w:cs="Arial"/>
                <w:lang w:val="en-GB"/>
              </w:rPr>
              <w:t>attorneys</w:t>
            </w:r>
            <w:r w:rsidRPr="003C5BCC">
              <w:rPr>
                <w:rFonts w:ascii="Arial" w:hAnsi="Arial" w:cs="Arial"/>
                <w:lang w:val="en-GB"/>
              </w:rPr>
              <w:t xml:space="preserve">, invalid writs </w:t>
            </w:r>
            <w:r>
              <w:rPr>
                <w:rFonts w:ascii="Arial" w:hAnsi="Arial" w:cs="Arial"/>
                <w:lang w:val="en-GB"/>
              </w:rPr>
              <w:t>and reasons other than the above.</w:t>
            </w:r>
          </w:p>
        </w:tc>
      </w:tr>
      <w:tr w:rsidR="00F50026" w14:paraId="33DA081C" w14:textId="77777777" w:rsidTr="005273D9">
        <w:trPr>
          <w:trHeight w:val="192"/>
        </w:trPr>
        <w:tc>
          <w:tcPr>
            <w:tcW w:w="10364" w:type="dxa"/>
            <w:gridSpan w:val="3"/>
          </w:tcPr>
          <w:p w14:paraId="49AAADCA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2017-18; financial years and </w:t>
            </w:r>
          </w:p>
        </w:tc>
      </w:tr>
      <w:tr w:rsidR="00F50026" w14:paraId="2496B68F" w14:textId="77777777" w:rsidTr="005273D9">
        <w:trPr>
          <w:trHeight w:val="1440"/>
        </w:trPr>
        <w:tc>
          <w:tcPr>
            <w:tcW w:w="2552" w:type="dxa"/>
          </w:tcPr>
          <w:p w14:paraId="4E75D8F6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12,402 (Operations)</w:t>
            </w:r>
          </w:p>
          <w:p w14:paraId="1A113773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748 (Treasury)</w:t>
            </w:r>
          </w:p>
          <w:p w14:paraId="218907B4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4253" w:type="dxa"/>
          </w:tcPr>
          <w:p w14:paraId="20F93E76" w14:textId="1C328773" w:rsidR="00F50026" w:rsidRPr="006F76AA" w:rsidRDefault="00EF0938" w:rsidP="00F50026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Pr="006F76AA">
              <w:rPr>
                <w:rFonts w:ascii="Arial" w:hAnsi="Arial" w:cs="Arial"/>
                <w:lang w:val="en-GB"/>
              </w:rPr>
              <w:t xml:space="preserve"> uniform electronic writ</w:t>
            </w:r>
            <w:bookmarkStart w:id="0" w:name="_GoBack"/>
            <w:bookmarkEnd w:id="0"/>
            <w:r w:rsidR="00F50026" w:rsidRPr="006F76AA">
              <w:rPr>
                <w:rFonts w:ascii="Arial" w:hAnsi="Arial" w:cs="Arial"/>
                <w:lang w:val="en-GB"/>
              </w:rPr>
              <w:t xml:space="preserve"> register application was implemented from 1 April 2017</w:t>
            </w:r>
            <w:r w:rsidR="00F50026">
              <w:rPr>
                <w:rFonts w:ascii="Arial" w:hAnsi="Arial" w:cs="Arial"/>
                <w:lang w:val="en-GB"/>
              </w:rPr>
              <w:t>, refer</w:t>
            </w:r>
            <w:r w:rsidR="00F50026" w:rsidRPr="006F76AA">
              <w:rPr>
                <w:rFonts w:ascii="Arial" w:hAnsi="Arial" w:cs="Arial"/>
                <w:lang w:val="en-GB"/>
              </w:rPr>
              <w:t xml:space="preserve"> to Annexure</w:t>
            </w:r>
            <w:r w:rsidR="00F50026">
              <w:rPr>
                <w:rFonts w:ascii="Arial" w:hAnsi="Arial" w:cs="Arial"/>
                <w:lang w:val="en-GB"/>
              </w:rPr>
              <w:t xml:space="preserve"> A </w:t>
            </w:r>
          </w:p>
        </w:tc>
        <w:tc>
          <w:tcPr>
            <w:tcW w:w="3559" w:type="dxa"/>
          </w:tcPr>
          <w:p w14:paraId="14DE05F1" w14:textId="77777777" w:rsidR="00F50026" w:rsidRPr="006F76AA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reasons include insufficient </w:t>
            </w:r>
            <w:r w:rsidRPr="00063D27">
              <w:rPr>
                <w:rFonts w:ascii="Arial" w:hAnsi="Arial" w:cs="Arial"/>
                <w:lang w:val="en-GB"/>
              </w:rPr>
              <w:t xml:space="preserve">cash flow </w:t>
            </w:r>
            <w:r>
              <w:rPr>
                <w:rFonts w:ascii="Arial" w:hAnsi="Arial" w:cs="Arial"/>
                <w:lang w:val="en-GB"/>
              </w:rPr>
              <w:t>due to underfunding</w:t>
            </w:r>
            <w:r w:rsidRPr="006F76AA">
              <w:rPr>
                <w:rFonts w:ascii="Arial" w:hAnsi="Arial" w:cs="Arial"/>
                <w:lang w:val="en-GB"/>
              </w:rPr>
              <w:t>, late payment of costs, late payment of capital,</w:t>
            </w:r>
            <w:r w:rsidRPr="008E6B39">
              <w:rPr>
                <w:rFonts w:ascii="Arial" w:hAnsi="Arial" w:cs="Arial"/>
                <w:lang w:val="en-GB"/>
              </w:rPr>
              <w:t xml:space="preserve"> attachment orders</w:t>
            </w:r>
            <w:r w:rsidRPr="006F76AA">
              <w:rPr>
                <w:rFonts w:ascii="Arial" w:hAnsi="Arial" w:cs="Arial"/>
                <w:lang w:val="en-GB"/>
              </w:rPr>
              <w:t xml:space="preserve"> late submission of documents by attorneys,</w:t>
            </w:r>
            <w:r>
              <w:rPr>
                <w:rFonts w:ascii="Arial" w:hAnsi="Arial" w:cs="Arial"/>
                <w:lang w:val="en-GB"/>
              </w:rPr>
              <w:t xml:space="preserve"> during handover by </w:t>
            </w:r>
            <w:r w:rsidRPr="00063D27">
              <w:rPr>
                <w:rFonts w:ascii="Arial" w:hAnsi="Arial" w:cs="Arial"/>
                <w:lang w:val="en-GB"/>
              </w:rPr>
              <w:t xml:space="preserve">panel </w:t>
            </w:r>
            <w:r>
              <w:rPr>
                <w:rFonts w:ascii="Arial" w:hAnsi="Arial" w:cs="Arial"/>
                <w:lang w:val="en-GB"/>
              </w:rPr>
              <w:t>attorney’s</w:t>
            </w:r>
            <w:r w:rsidRPr="00063D27">
              <w:rPr>
                <w:rFonts w:ascii="Arial" w:hAnsi="Arial" w:cs="Arial"/>
                <w:lang w:val="en-GB"/>
              </w:rPr>
              <w:t xml:space="preserve"> </w:t>
            </w:r>
            <w:r w:rsidRPr="008E6B39">
              <w:rPr>
                <w:rFonts w:ascii="Arial" w:hAnsi="Arial" w:cs="Arial"/>
                <w:lang w:val="en-GB"/>
              </w:rPr>
              <w:t>attachment orders</w:t>
            </w:r>
            <w:r w:rsidRPr="006F76AA">
              <w:rPr>
                <w:rFonts w:ascii="Arial" w:hAnsi="Arial" w:cs="Arial"/>
                <w:lang w:val="en-GB"/>
              </w:rPr>
              <w:t xml:space="preserve">, invalid writs </w:t>
            </w:r>
            <w:r>
              <w:rPr>
                <w:rFonts w:ascii="Arial" w:hAnsi="Arial" w:cs="Arial"/>
                <w:lang w:val="en-GB"/>
              </w:rPr>
              <w:t>and reasons other than the above.</w:t>
            </w:r>
          </w:p>
        </w:tc>
      </w:tr>
      <w:tr w:rsidR="00F50026" w14:paraId="534F4569" w14:textId="77777777" w:rsidTr="005273D9">
        <w:trPr>
          <w:trHeight w:val="192"/>
        </w:trPr>
        <w:tc>
          <w:tcPr>
            <w:tcW w:w="10364" w:type="dxa"/>
            <w:gridSpan w:val="3"/>
          </w:tcPr>
          <w:p w14:paraId="44E654C8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From 1 April 2018 to31 May </w:t>
            </w:r>
          </w:p>
        </w:tc>
      </w:tr>
      <w:tr w:rsidR="00F50026" w14:paraId="4A59876E" w14:textId="77777777" w:rsidTr="005273D9">
        <w:trPr>
          <w:trHeight w:val="1236"/>
        </w:trPr>
        <w:tc>
          <w:tcPr>
            <w:tcW w:w="2552" w:type="dxa"/>
          </w:tcPr>
          <w:p w14:paraId="2326B54C" w14:textId="77777777" w:rsidR="00F50026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 w:rsidRPr="00CA0006">
              <w:rPr>
                <w:rFonts w:ascii="Arial" w:hAnsi="Arial" w:cs="Arial"/>
                <w:lang w:val="en-GB"/>
              </w:rPr>
              <w:t>792</w:t>
            </w:r>
            <w:r>
              <w:rPr>
                <w:rFonts w:ascii="Arial" w:hAnsi="Arial" w:cs="Arial"/>
                <w:lang w:val="en-GB"/>
              </w:rPr>
              <w:t xml:space="preserve"> (Operations)</w:t>
            </w:r>
          </w:p>
          <w:p w14:paraId="1F05EA85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186 (Treasury)</w:t>
            </w:r>
          </w:p>
          <w:p w14:paraId="4102B5DA" w14:textId="77777777" w:rsidR="00F50026" w:rsidRPr="00D14D61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4253" w:type="dxa"/>
          </w:tcPr>
          <w:p w14:paraId="20073541" w14:textId="77777777" w:rsidR="00F50026" w:rsidRPr="006F76AA" w:rsidRDefault="00F50026" w:rsidP="00F50026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Pr="006F76AA">
              <w:rPr>
                <w:rFonts w:ascii="Arial" w:hAnsi="Arial" w:cs="Arial"/>
                <w:lang w:val="en-GB"/>
              </w:rPr>
              <w:t>efer to Annexure</w:t>
            </w:r>
            <w:r>
              <w:rPr>
                <w:rFonts w:ascii="Arial" w:hAnsi="Arial" w:cs="Arial"/>
                <w:lang w:val="en-GB"/>
              </w:rPr>
              <w:t xml:space="preserve"> B</w:t>
            </w:r>
          </w:p>
        </w:tc>
        <w:tc>
          <w:tcPr>
            <w:tcW w:w="3559" w:type="dxa"/>
          </w:tcPr>
          <w:p w14:paraId="4F92B5E9" w14:textId="77777777" w:rsidR="00F50026" w:rsidRPr="006F76AA" w:rsidRDefault="00F50026" w:rsidP="00F50026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reasons include insufficient </w:t>
            </w:r>
            <w:r w:rsidRPr="00063D27">
              <w:rPr>
                <w:rFonts w:ascii="Arial" w:hAnsi="Arial" w:cs="Arial"/>
                <w:lang w:val="en-GB"/>
              </w:rPr>
              <w:t xml:space="preserve">cash flow </w:t>
            </w:r>
            <w:r>
              <w:rPr>
                <w:rFonts w:ascii="Arial" w:hAnsi="Arial" w:cs="Arial"/>
                <w:lang w:val="en-GB"/>
              </w:rPr>
              <w:t>due to underfunding</w:t>
            </w:r>
            <w:r w:rsidRPr="006F76AA">
              <w:rPr>
                <w:rFonts w:ascii="Arial" w:hAnsi="Arial" w:cs="Arial"/>
                <w:lang w:val="en-GB"/>
              </w:rPr>
              <w:t>, late payment of costs, late payment of capital, late submission of documents by attorneys, invalid writs</w:t>
            </w:r>
            <w:r>
              <w:rPr>
                <w:rFonts w:ascii="Arial" w:hAnsi="Arial" w:cs="Arial"/>
                <w:lang w:val="en-GB"/>
              </w:rPr>
              <w:t xml:space="preserve"> and reasons other than the above.</w:t>
            </w:r>
          </w:p>
        </w:tc>
      </w:tr>
    </w:tbl>
    <w:p w14:paraId="455E17C9" w14:textId="74054F24" w:rsidR="00BD6D71" w:rsidRPr="00A27DF4" w:rsidRDefault="00BD6D71" w:rsidP="00A27DF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71DE0A" w14:textId="25D9C73B" w:rsidR="00050380" w:rsidRPr="00052736" w:rsidRDefault="00050380" w:rsidP="001208D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6EBFCD36" w14:textId="3367A90D" w:rsidR="00C528C8" w:rsidRPr="00AB5375" w:rsidRDefault="00C528C8" w:rsidP="008B3451">
      <w:pPr>
        <w:pStyle w:val="Heading6"/>
        <w:spacing w:before="240" w:line="360" w:lineRule="auto"/>
        <w:ind w:left="0" w:firstLine="0"/>
        <w:rPr>
          <w:rFonts w:cs="Arial"/>
          <w:lang w:val="af-ZA"/>
        </w:rPr>
      </w:pP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2BF9" w14:textId="77777777" w:rsidR="0078705E" w:rsidRDefault="0078705E" w:rsidP="00DB1508">
      <w:pPr>
        <w:spacing w:after="0" w:line="240" w:lineRule="auto"/>
      </w:pPr>
      <w:r>
        <w:separator/>
      </w:r>
    </w:p>
  </w:endnote>
  <w:endnote w:type="continuationSeparator" w:id="0">
    <w:p w14:paraId="4832F1A2" w14:textId="77777777" w:rsidR="0078705E" w:rsidRDefault="0078705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6D5E" w14:textId="77777777" w:rsidR="0078705E" w:rsidRDefault="0078705E" w:rsidP="00DB1508">
      <w:pPr>
        <w:spacing w:after="0" w:line="240" w:lineRule="auto"/>
      </w:pPr>
      <w:r>
        <w:separator/>
      </w:r>
    </w:p>
  </w:footnote>
  <w:footnote w:type="continuationSeparator" w:id="0">
    <w:p w14:paraId="32CC63BB" w14:textId="77777777" w:rsidR="0078705E" w:rsidRDefault="0078705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A1E"/>
    <w:multiLevelType w:val="hybridMultilevel"/>
    <w:tmpl w:val="AFBC3080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340"/>
    <w:multiLevelType w:val="hybridMultilevel"/>
    <w:tmpl w:val="4CDAC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83B64"/>
    <w:multiLevelType w:val="hybridMultilevel"/>
    <w:tmpl w:val="A3266488"/>
    <w:lvl w:ilvl="0" w:tplc="2D5680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539A"/>
    <w:multiLevelType w:val="hybridMultilevel"/>
    <w:tmpl w:val="D5522E74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F6E"/>
    <w:multiLevelType w:val="hybridMultilevel"/>
    <w:tmpl w:val="47946984"/>
    <w:lvl w:ilvl="0" w:tplc="66B24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369E"/>
    <w:multiLevelType w:val="hybridMultilevel"/>
    <w:tmpl w:val="F078B8F2"/>
    <w:lvl w:ilvl="0" w:tplc="BD424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D55D0"/>
    <w:multiLevelType w:val="hybridMultilevel"/>
    <w:tmpl w:val="74BCB356"/>
    <w:lvl w:ilvl="0" w:tplc="80E2ED0C">
      <w:start w:val="8"/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7F1027"/>
    <w:multiLevelType w:val="hybridMultilevel"/>
    <w:tmpl w:val="537E5CFE"/>
    <w:lvl w:ilvl="0" w:tplc="0D20F310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00A9"/>
    <w:multiLevelType w:val="hybridMultilevel"/>
    <w:tmpl w:val="DBE68F08"/>
    <w:lvl w:ilvl="0" w:tplc="55D67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65113"/>
    <w:multiLevelType w:val="hybridMultilevel"/>
    <w:tmpl w:val="DD909696"/>
    <w:lvl w:ilvl="0" w:tplc="7BF85E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5A5C"/>
    <w:multiLevelType w:val="hybridMultilevel"/>
    <w:tmpl w:val="2876B6D8"/>
    <w:lvl w:ilvl="0" w:tplc="66B24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C5946B3"/>
    <w:multiLevelType w:val="hybridMultilevel"/>
    <w:tmpl w:val="7EB206FE"/>
    <w:lvl w:ilvl="0" w:tplc="E7AC5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8"/>
  </w:num>
  <w:num w:numId="5">
    <w:abstractNumId w:val="24"/>
  </w:num>
  <w:num w:numId="6">
    <w:abstractNumId w:val="4"/>
  </w:num>
  <w:num w:numId="7">
    <w:abstractNumId w:val="14"/>
  </w:num>
  <w:num w:numId="8">
    <w:abstractNumId w:val="10"/>
  </w:num>
  <w:num w:numId="9">
    <w:abstractNumId w:val="27"/>
  </w:num>
  <w:num w:numId="10">
    <w:abstractNumId w:val="20"/>
  </w:num>
  <w:num w:numId="11">
    <w:abstractNumId w:val="35"/>
  </w:num>
  <w:num w:numId="12">
    <w:abstractNumId w:val="12"/>
  </w:num>
  <w:num w:numId="13">
    <w:abstractNumId w:val="21"/>
  </w:num>
  <w:num w:numId="14">
    <w:abstractNumId w:val="33"/>
  </w:num>
  <w:num w:numId="15">
    <w:abstractNumId w:val="22"/>
  </w:num>
  <w:num w:numId="16">
    <w:abstractNumId w:val="28"/>
  </w:num>
  <w:num w:numId="17">
    <w:abstractNumId w:val="19"/>
  </w:num>
  <w:num w:numId="18">
    <w:abstractNumId w:val="6"/>
  </w:num>
  <w:num w:numId="19">
    <w:abstractNumId w:val="36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30"/>
  </w:num>
  <w:num w:numId="25">
    <w:abstractNumId w:val="3"/>
  </w:num>
  <w:num w:numId="26">
    <w:abstractNumId w:val="23"/>
  </w:num>
  <w:num w:numId="27">
    <w:abstractNumId w:val="7"/>
  </w:num>
  <w:num w:numId="28">
    <w:abstractNumId w:val="16"/>
  </w:num>
  <w:num w:numId="29">
    <w:abstractNumId w:val="1"/>
  </w:num>
  <w:num w:numId="30">
    <w:abstractNumId w:val="29"/>
  </w:num>
  <w:num w:numId="31">
    <w:abstractNumId w:val="9"/>
  </w:num>
  <w:num w:numId="32">
    <w:abstractNumId w:val="25"/>
  </w:num>
  <w:num w:numId="33">
    <w:abstractNumId w:val="34"/>
  </w:num>
  <w:num w:numId="34">
    <w:abstractNumId w:val="2"/>
  </w:num>
  <w:num w:numId="35">
    <w:abstractNumId w:val="13"/>
  </w:num>
  <w:num w:numId="36">
    <w:abstractNumId w:val="31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13B11"/>
    <w:rsid w:val="001208D2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1C3F"/>
    <w:rsid w:val="00506A57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093E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6EB6"/>
    <w:rsid w:val="00764334"/>
    <w:rsid w:val="00783D94"/>
    <w:rsid w:val="00784077"/>
    <w:rsid w:val="0078705E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055D9"/>
    <w:rsid w:val="00A20540"/>
    <w:rsid w:val="00A21F7F"/>
    <w:rsid w:val="00A22ECB"/>
    <w:rsid w:val="00A2310B"/>
    <w:rsid w:val="00A27DF4"/>
    <w:rsid w:val="00A30756"/>
    <w:rsid w:val="00A33285"/>
    <w:rsid w:val="00A36DA6"/>
    <w:rsid w:val="00A40246"/>
    <w:rsid w:val="00A4192C"/>
    <w:rsid w:val="00A44B9A"/>
    <w:rsid w:val="00A46CC2"/>
    <w:rsid w:val="00A51004"/>
    <w:rsid w:val="00A54865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D6D71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35686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F0938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18C1-EEC8-435A-A582-C0C839A3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2018-06-12T08:52:00Z</dcterms:created>
  <dcterms:modified xsi:type="dcterms:W3CDTF">2018-06-12T08:53:00Z</dcterms:modified>
</cp:coreProperties>
</file>