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0E041A">
        <w:rPr>
          <w:b/>
          <w:bCs/>
          <w:sz w:val="24"/>
          <w:u w:val="single"/>
        </w:rPr>
        <w:t>79</w:t>
      </w:r>
      <w:r w:rsidR="007D557D">
        <w:rPr>
          <w:b/>
          <w:bCs/>
          <w:sz w:val="24"/>
          <w:u w:val="single"/>
        </w:rPr>
        <w:t>3</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E041A">
        <w:rPr>
          <w:b/>
          <w:bCs/>
          <w:sz w:val="24"/>
          <w:u w:val="single"/>
        </w:rPr>
        <w:t>19</w:t>
      </w:r>
      <w:r w:rsidR="00CD65DE">
        <w:rPr>
          <w:b/>
          <w:bCs/>
          <w:sz w:val="24"/>
          <w:u w:val="single"/>
        </w:rPr>
        <w:t xml:space="preserve">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0E041A">
        <w:rPr>
          <w:rFonts w:ascii="Arial" w:hAnsi="Arial" w:cs="Arial"/>
          <w:b/>
          <w:bCs/>
          <w:sz w:val="24"/>
          <w:u w:val="single"/>
        </w:rPr>
        <w:t>8</w:t>
      </w:r>
      <w:r w:rsidRPr="008C527F">
        <w:rPr>
          <w:rFonts w:ascii="Arial" w:hAnsi="Arial" w:cs="Arial"/>
          <w:b/>
          <w:bCs/>
          <w:sz w:val="24"/>
          <w:u w:val="single"/>
        </w:rPr>
        <w:t>)</w:t>
      </w:r>
    </w:p>
    <w:p w:rsidR="007D557D" w:rsidRPr="007D557D" w:rsidRDefault="007D557D" w:rsidP="007D557D">
      <w:pPr>
        <w:spacing w:before="100" w:beforeAutospacing="1" w:after="100" w:afterAutospacing="1" w:line="240" w:lineRule="auto"/>
        <w:ind w:left="709" w:hanging="709"/>
        <w:jc w:val="both"/>
        <w:rPr>
          <w:rFonts w:ascii="Arial" w:hAnsi="Arial" w:cs="Arial"/>
          <w:b/>
          <w:bCs/>
          <w:sz w:val="24"/>
          <w:szCs w:val="24"/>
          <w:u w:val="single"/>
          <w:lang w:val="en-GB"/>
        </w:rPr>
      </w:pPr>
      <w:r w:rsidRPr="007D557D">
        <w:rPr>
          <w:rFonts w:ascii="Arial" w:hAnsi="Arial" w:cs="Arial"/>
          <w:b/>
          <w:bCs/>
          <w:sz w:val="24"/>
          <w:szCs w:val="24"/>
          <w:u w:val="single"/>
          <w:lang w:val="en-GB"/>
        </w:rPr>
        <w:t>Mr V Zungula (ATM) to ask the Minister of Health</w:t>
      </w:r>
      <w:r w:rsidR="00C50CD3" w:rsidRPr="007D557D">
        <w:rPr>
          <w:rFonts w:ascii="Arial" w:hAnsi="Arial" w:cs="Arial"/>
          <w:b/>
          <w:bCs/>
          <w:sz w:val="24"/>
          <w:szCs w:val="24"/>
          <w:u w:val="single"/>
          <w:lang w:val="en-GB"/>
        </w:rPr>
        <w:fldChar w:fldCharType="begin"/>
      </w:r>
      <w:r w:rsidRPr="007D557D">
        <w:rPr>
          <w:rFonts w:ascii="Arial" w:hAnsi="Arial" w:cs="Arial"/>
          <w:u w:val="single"/>
        </w:rPr>
        <w:instrText xml:space="preserve"> XE "</w:instrText>
      </w:r>
      <w:r w:rsidRPr="007D557D">
        <w:rPr>
          <w:rFonts w:ascii="Arial" w:hAnsi="Arial" w:cs="Arial"/>
          <w:b/>
          <w:bCs/>
          <w:sz w:val="24"/>
          <w:szCs w:val="24"/>
          <w:u w:val="single"/>
          <w:lang w:val="en-GB"/>
        </w:rPr>
        <w:instrText>Minister of Health</w:instrText>
      </w:r>
      <w:r w:rsidRPr="007D557D">
        <w:rPr>
          <w:rFonts w:ascii="Arial" w:hAnsi="Arial" w:cs="Arial"/>
          <w:u w:val="single"/>
        </w:rPr>
        <w:instrText xml:space="preserve">" </w:instrText>
      </w:r>
      <w:r w:rsidR="00C50CD3" w:rsidRPr="007D557D">
        <w:rPr>
          <w:rFonts w:ascii="Arial" w:hAnsi="Arial" w:cs="Arial"/>
          <w:b/>
          <w:bCs/>
          <w:sz w:val="24"/>
          <w:szCs w:val="24"/>
          <w:u w:val="single"/>
          <w:lang w:val="en-GB"/>
        </w:rPr>
        <w:fldChar w:fldCharType="end"/>
      </w:r>
      <w:r w:rsidRPr="007D557D">
        <w:rPr>
          <w:rFonts w:ascii="Arial" w:hAnsi="Arial" w:cs="Arial"/>
          <w:b/>
          <w:bCs/>
          <w:sz w:val="24"/>
          <w:szCs w:val="24"/>
          <w:u w:val="single"/>
          <w:lang w:val="en-GB"/>
        </w:rPr>
        <w:t>:</w:t>
      </w:r>
    </w:p>
    <w:p w:rsidR="007D557D" w:rsidRPr="007D557D" w:rsidRDefault="007D557D" w:rsidP="007D557D">
      <w:pPr>
        <w:spacing w:before="100" w:beforeAutospacing="1" w:after="100" w:afterAutospacing="1" w:line="240" w:lineRule="auto"/>
        <w:ind w:left="709" w:hanging="720"/>
        <w:jc w:val="both"/>
        <w:rPr>
          <w:rFonts w:ascii="Arial" w:hAnsi="Arial" w:cs="Arial"/>
          <w:sz w:val="24"/>
          <w:szCs w:val="24"/>
        </w:rPr>
      </w:pPr>
      <w:r w:rsidRPr="007D557D">
        <w:rPr>
          <w:rFonts w:ascii="Arial" w:hAnsi="Arial" w:cs="Arial"/>
          <w:sz w:val="24"/>
          <w:szCs w:val="24"/>
        </w:rPr>
        <w:t>(1)</w:t>
      </w:r>
      <w:r w:rsidRPr="007D557D">
        <w:rPr>
          <w:rFonts w:ascii="Arial" w:hAnsi="Arial" w:cs="Arial"/>
          <w:sz w:val="24"/>
          <w:szCs w:val="24"/>
        </w:rPr>
        <w:tab/>
        <w:t>Whether he will implement the remedial actions from the Public Protector’s report on allegations of undue delay by the National Department of Health to address the challenges experienced by Clinical Associates that was released on 30 November 2021 (details furnished), in the 2023 calendar year; if not, what is the position in this regard; if so, what are the relevant details;</w:t>
      </w:r>
    </w:p>
    <w:p w:rsidR="007D557D" w:rsidRPr="007D557D" w:rsidRDefault="007D557D" w:rsidP="007D557D">
      <w:pPr>
        <w:spacing w:before="100" w:beforeAutospacing="1" w:after="100" w:afterAutospacing="1" w:line="240" w:lineRule="auto"/>
        <w:ind w:left="709" w:hanging="720"/>
        <w:jc w:val="both"/>
        <w:rPr>
          <w:rFonts w:ascii="Arial" w:hAnsi="Arial" w:cs="Arial"/>
          <w:sz w:val="24"/>
          <w:szCs w:val="24"/>
        </w:rPr>
      </w:pPr>
      <w:r w:rsidRPr="007D557D">
        <w:rPr>
          <w:rFonts w:ascii="Arial" w:hAnsi="Arial" w:cs="Arial"/>
          <w:sz w:val="24"/>
          <w:szCs w:val="24"/>
        </w:rPr>
        <w:t>(2)</w:t>
      </w:r>
      <w:r w:rsidRPr="007D557D">
        <w:rPr>
          <w:rFonts w:ascii="Arial" w:hAnsi="Arial" w:cs="Arial"/>
          <w:sz w:val="24"/>
          <w:szCs w:val="24"/>
        </w:rPr>
        <w:tab/>
        <w:t>whether he has directed a facilitation of the negotiations within the first quarter of 2023, to correct the occupation specific dispensation omission, in line with the remedial action from the Public Protector’s report on allegations of undue delay by his department in respect of the challenges experienced by Clinical Associates that was released on 30 November 2021 (details furnished); if not, why not; if so, what are the relevant details;</w:t>
      </w:r>
    </w:p>
    <w:p w:rsidR="002C2A10" w:rsidRPr="007D557D" w:rsidRDefault="007D557D" w:rsidP="007D557D">
      <w:pPr>
        <w:spacing w:before="100" w:beforeAutospacing="1" w:after="100" w:afterAutospacing="1" w:line="240" w:lineRule="auto"/>
        <w:ind w:left="709" w:hanging="720"/>
        <w:jc w:val="both"/>
        <w:rPr>
          <w:rFonts w:ascii="Times New Roman" w:hAnsi="Times New Roman" w:cs="Times New Roman"/>
          <w:bCs/>
          <w:color w:val="222222"/>
          <w:sz w:val="20"/>
          <w:szCs w:val="20"/>
        </w:rPr>
      </w:pPr>
      <w:r w:rsidRPr="007D557D">
        <w:rPr>
          <w:rFonts w:ascii="Arial" w:hAnsi="Arial" w:cs="Arial"/>
          <w:sz w:val="24"/>
          <w:szCs w:val="24"/>
        </w:rPr>
        <w:t>(3)</w:t>
      </w:r>
      <w:r w:rsidRPr="007D557D">
        <w:rPr>
          <w:rFonts w:ascii="Arial" w:hAnsi="Arial" w:cs="Arial"/>
          <w:sz w:val="24"/>
          <w:szCs w:val="24"/>
        </w:rPr>
        <w:tab/>
        <w:t>whether he will fast track the creation of posts and reviewing the clinical associates programme (details furnished), as more clinical associates are forced to seek employment outside the public sector which is contrary to the initial purpose of the programme; if not, why not; if so, what are the relevant details?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527F" w:rsidRPr="0020357C">
        <w:rPr>
          <w:rFonts w:ascii="Arial" w:hAnsi="Arial" w:cs="Arial"/>
          <w:b/>
          <w:bCs/>
          <w:sz w:val="12"/>
          <w:szCs w:val="12"/>
        </w:rPr>
        <w:t>NW</w:t>
      </w:r>
      <w:r w:rsidR="00A904DA">
        <w:rPr>
          <w:rFonts w:ascii="Arial" w:hAnsi="Arial" w:cs="Arial"/>
          <w:b/>
          <w:bCs/>
          <w:sz w:val="12"/>
          <w:szCs w:val="12"/>
        </w:rPr>
        <w:t>1</w:t>
      </w:r>
      <w:r w:rsidR="005F1752">
        <w:rPr>
          <w:rFonts w:ascii="Arial" w:hAnsi="Arial" w:cs="Arial"/>
          <w:b/>
          <w:bCs/>
          <w:sz w:val="12"/>
          <w:szCs w:val="12"/>
        </w:rPr>
        <w:t>7</w:t>
      </w:r>
      <w:r w:rsidR="000E041A">
        <w:rPr>
          <w:rFonts w:ascii="Arial" w:hAnsi="Arial" w:cs="Arial"/>
          <w:b/>
          <w:bCs/>
          <w:sz w:val="12"/>
          <w:szCs w:val="12"/>
        </w:rPr>
        <w:t>3</w:t>
      </w:r>
      <w:r>
        <w:rPr>
          <w:rFonts w:ascii="Arial" w:hAnsi="Arial" w:cs="Arial"/>
          <w:b/>
          <w:bCs/>
          <w:sz w:val="12"/>
          <w:szCs w:val="12"/>
        </w:rPr>
        <w:t>6</w:t>
      </w:r>
      <w:r w:rsidR="008C527F" w:rsidRPr="0020357C">
        <w:rPr>
          <w:rFonts w:ascii="Arial" w:hAnsi="Arial" w:cs="Arial"/>
          <w:b/>
          <w:bCs/>
          <w:sz w:val="12"/>
          <w:szCs w:val="12"/>
        </w:rPr>
        <w:t>E</w:t>
      </w:r>
    </w:p>
    <w:p w:rsidR="006228AA" w:rsidRPr="004E6AA1"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4E6AA1" w:rsidRPr="004E6AA1" w:rsidRDefault="004E6AA1" w:rsidP="004E6AA1">
      <w:pPr>
        <w:pStyle w:val="ListParagraph"/>
        <w:numPr>
          <w:ilvl w:val="0"/>
          <w:numId w:val="36"/>
        </w:numPr>
        <w:spacing w:after="240"/>
        <w:ind w:left="709" w:hanging="709"/>
        <w:contextualSpacing w:val="0"/>
        <w:jc w:val="both"/>
        <w:rPr>
          <w:rFonts w:ascii="Arial" w:hAnsi="Arial" w:cs="Arial"/>
          <w:sz w:val="24"/>
          <w:szCs w:val="24"/>
        </w:rPr>
      </w:pPr>
      <w:r w:rsidRPr="004E6AA1">
        <w:rPr>
          <w:rFonts w:ascii="Arial" w:hAnsi="Arial" w:cs="Arial"/>
          <w:sz w:val="24"/>
          <w:szCs w:val="24"/>
        </w:rPr>
        <w:t xml:space="preserve">Yes, the Minister is implementing the remedial actions from the Public Protector’s report guided by prescripts of the law. As such, the DPSA are dealing with the issue of Occupational Specific Dispensation (OSD) through a process lead. DPSA has commissioned </w:t>
      </w:r>
      <w:r w:rsidRPr="004E6AA1">
        <w:rPr>
          <w:rFonts w:ascii="Arial" w:eastAsia="Times New Roman" w:hAnsi="Arial" w:cs="Arial"/>
          <w:sz w:val="24"/>
          <w:szCs w:val="24"/>
          <w:bdr w:val="none" w:sz="0" w:space="0" w:color="auto" w:frame="1"/>
          <w:lang w:val="en-GB"/>
        </w:rPr>
        <w:t>Price Waterhouse Coopers (PWC) to conduct a Personnel Expenditure Review </w:t>
      </w:r>
      <w:r w:rsidRPr="004E6AA1">
        <w:rPr>
          <w:rFonts w:ascii="Arial" w:hAnsi="Arial" w:cs="Arial"/>
          <w:sz w:val="24"/>
          <w:szCs w:val="24"/>
          <w:bdr w:val="none" w:sz="0" w:space="0" w:color="auto" w:frame="1"/>
          <w:lang w:val="en-GB"/>
        </w:rPr>
        <w:t>(PER)</w:t>
      </w:r>
      <w:r w:rsidRPr="004E6AA1">
        <w:rPr>
          <w:rFonts w:ascii="Arial" w:eastAsia="Times New Roman" w:hAnsi="Arial" w:cs="Arial"/>
          <w:sz w:val="24"/>
          <w:szCs w:val="24"/>
          <w:bdr w:val="none" w:sz="0" w:space="0" w:color="auto" w:frame="1"/>
          <w:lang w:val="en-GB"/>
        </w:rPr>
        <w:t>, that includes the review of OSDs in the public sector.</w:t>
      </w:r>
    </w:p>
    <w:p w:rsidR="004E6AA1" w:rsidRDefault="004E6AA1" w:rsidP="004E6AA1">
      <w:pPr>
        <w:pStyle w:val="ListParagraph"/>
        <w:numPr>
          <w:ilvl w:val="0"/>
          <w:numId w:val="36"/>
        </w:numPr>
        <w:ind w:left="709" w:hanging="709"/>
        <w:jc w:val="both"/>
        <w:rPr>
          <w:rFonts w:ascii="Arial" w:hAnsi="Arial" w:cs="Arial"/>
          <w:sz w:val="24"/>
          <w:szCs w:val="24"/>
        </w:rPr>
      </w:pPr>
      <w:r w:rsidRPr="004E6AA1">
        <w:rPr>
          <w:rFonts w:ascii="Arial" w:hAnsi="Arial" w:cs="Arial"/>
          <w:sz w:val="24"/>
          <w:szCs w:val="24"/>
        </w:rPr>
        <w:t xml:space="preserve">Yes, the National Department of Health has commenced discussions with relevant stakeholders to facilitate negotiations to address the Occupation Specific Dispensation (OSD) for Clinical Associates. The Department has held meeting(s) with the Department of Public Service and Administration (DPSA) to table issues pertaining to the conditions of service for the Clinical Associates as raised in the Public Protector’s report. </w:t>
      </w:r>
    </w:p>
    <w:p w:rsidR="004E6AA1" w:rsidRDefault="004E6AA1" w:rsidP="004E6AA1">
      <w:pPr>
        <w:pStyle w:val="ListParagraph"/>
        <w:ind w:left="709"/>
        <w:jc w:val="both"/>
        <w:rPr>
          <w:rFonts w:ascii="Arial" w:hAnsi="Arial" w:cs="Arial"/>
          <w:sz w:val="24"/>
          <w:szCs w:val="24"/>
        </w:rPr>
      </w:pPr>
    </w:p>
    <w:p w:rsidR="004E6AA1" w:rsidRPr="004E6AA1" w:rsidRDefault="004E6AA1" w:rsidP="004E6AA1">
      <w:pPr>
        <w:pStyle w:val="ListParagraph"/>
        <w:numPr>
          <w:ilvl w:val="0"/>
          <w:numId w:val="36"/>
        </w:numPr>
        <w:ind w:left="709" w:hanging="709"/>
        <w:jc w:val="both"/>
        <w:rPr>
          <w:rFonts w:ascii="Arial" w:hAnsi="Arial" w:cs="Arial"/>
          <w:sz w:val="24"/>
          <w:szCs w:val="24"/>
        </w:rPr>
      </w:pPr>
      <w:r w:rsidRPr="004E6AA1">
        <w:rPr>
          <w:rFonts w:ascii="Arial" w:hAnsi="Arial" w:cs="Arial"/>
          <w:sz w:val="24"/>
          <w:szCs w:val="24"/>
        </w:rPr>
        <w:t xml:space="preserve">Fiscal constraints continue to be a limitation on the issue of creation of additional posts for all categories, including Clinical Associates posts within the public health system. </w:t>
      </w:r>
      <w:r>
        <w:rPr>
          <w:rFonts w:ascii="Arial" w:hAnsi="Arial" w:cs="Arial"/>
          <w:sz w:val="24"/>
          <w:szCs w:val="24"/>
        </w:rPr>
        <w:t xml:space="preserve"> </w:t>
      </w:r>
      <w:r w:rsidRPr="004E6AA1">
        <w:rPr>
          <w:rFonts w:ascii="Arial" w:hAnsi="Arial" w:cs="Arial"/>
          <w:sz w:val="24"/>
          <w:szCs w:val="24"/>
        </w:rPr>
        <w:t>Currently, Provinces are unable to fill existing vacant posts or create new ones, despite service delivery needs/demands. Instead, they are required to prioritize posts across all levels of care within the available budget.</w:t>
      </w:r>
    </w:p>
    <w:p w:rsidR="004E6AA1" w:rsidRDefault="004E6AA1" w:rsidP="00F24096">
      <w:pPr>
        <w:spacing w:after="240" w:line="240" w:lineRule="auto"/>
        <w:jc w:val="both"/>
        <w:rPr>
          <w:rFonts w:ascii="Arial" w:hAnsi="Arial" w:cs="Arial"/>
          <w:color w:val="000000" w:themeColor="text1"/>
          <w:sz w:val="24"/>
          <w:szCs w:val="24"/>
          <w:lang w:val="en-US"/>
        </w:rPr>
      </w:pPr>
    </w:p>
    <w:p w:rsidR="00E134D1" w:rsidRPr="00B268F2" w:rsidRDefault="00E134D1" w:rsidP="00F24096">
      <w:pPr>
        <w:spacing w:after="240"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lastRenderedPageBreak/>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34A" w:rsidRDefault="001D434A" w:rsidP="00BF747C">
      <w:pPr>
        <w:spacing w:after="0" w:line="240" w:lineRule="auto"/>
      </w:pPr>
      <w:r>
        <w:separator/>
      </w:r>
    </w:p>
  </w:endnote>
  <w:endnote w:type="continuationSeparator" w:id="0">
    <w:p w:rsidR="001D434A" w:rsidRDefault="001D434A"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3C7" w:rsidRPr="004833C7" w:rsidRDefault="004833C7" w:rsidP="005757FE">
    <w:pPr>
      <w:pStyle w:val="Footer"/>
      <w:rPr>
        <w:rFonts w:ascii="Arial" w:hAnsi="Arial" w:cs="Arial"/>
        <w:sz w:val="24"/>
        <w:szCs w:val="24"/>
      </w:rPr>
    </w:pPr>
  </w:p>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34A" w:rsidRDefault="001D434A" w:rsidP="00BF747C">
      <w:pPr>
        <w:spacing w:after="0" w:line="240" w:lineRule="auto"/>
      </w:pPr>
      <w:r>
        <w:separator/>
      </w:r>
    </w:p>
  </w:footnote>
  <w:footnote w:type="continuationSeparator" w:id="0">
    <w:p w:rsidR="001D434A" w:rsidRDefault="001D434A"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3C841EF"/>
    <w:multiLevelType w:val="hybridMultilevel"/>
    <w:tmpl w:val="69A08864"/>
    <w:lvl w:ilvl="0" w:tplc="09848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9">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1">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6">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2E72E9E"/>
    <w:multiLevelType w:val="hybridMultilevel"/>
    <w:tmpl w:val="92AA0F5A"/>
    <w:lvl w:ilvl="0" w:tplc="603C509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1">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2"/>
  </w:num>
  <w:num w:numId="3">
    <w:abstractNumId w:val="10"/>
  </w:num>
  <w:num w:numId="4">
    <w:abstractNumId w:val="35"/>
  </w:num>
  <w:num w:numId="5">
    <w:abstractNumId w:val="9"/>
  </w:num>
  <w:num w:numId="6">
    <w:abstractNumId w:val="30"/>
  </w:num>
  <w:num w:numId="7">
    <w:abstractNumId w:val="18"/>
  </w:num>
  <w:num w:numId="8">
    <w:abstractNumId w:val="4"/>
  </w:num>
  <w:num w:numId="9">
    <w:abstractNumId w:val="16"/>
  </w:num>
  <w:num w:numId="10">
    <w:abstractNumId w:val="0"/>
  </w:num>
  <w:num w:numId="11">
    <w:abstractNumId w:val="7"/>
  </w:num>
  <w:num w:numId="12">
    <w:abstractNumId w:val="27"/>
  </w:num>
  <w:num w:numId="13">
    <w:abstractNumId w:val="34"/>
  </w:num>
  <w:num w:numId="14">
    <w:abstractNumId w:val="1"/>
  </w:num>
  <w:num w:numId="15">
    <w:abstractNumId w:val="2"/>
  </w:num>
  <w:num w:numId="16">
    <w:abstractNumId w:val="33"/>
  </w:num>
  <w:num w:numId="17">
    <w:abstractNumId w:val="23"/>
  </w:num>
  <w:num w:numId="18">
    <w:abstractNumId w:val="11"/>
  </w:num>
  <w:num w:numId="19">
    <w:abstractNumId w:val="15"/>
  </w:num>
  <w:num w:numId="20">
    <w:abstractNumId w:val="20"/>
  </w:num>
  <w:num w:numId="21">
    <w:abstractNumId w:val="13"/>
  </w:num>
  <w:num w:numId="22">
    <w:abstractNumId w:val="24"/>
  </w:num>
  <w:num w:numId="23">
    <w:abstractNumId w:val="5"/>
  </w:num>
  <w:num w:numId="24">
    <w:abstractNumId w:val="25"/>
  </w:num>
  <w:num w:numId="25">
    <w:abstractNumId w:val="32"/>
  </w:num>
  <w:num w:numId="26">
    <w:abstractNumId w:val="19"/>
  </w:num>
  <w:num w:numId="27">
    <w:abstractNumId w:val="26"/>
  </w:num>
  <w:num w:numId="28">
    <w:abstractNumId w:val="21"/>
  </w:num>
  <w:num w:numId="29">
    <w:abstractNumId w:val="29"/>
  </w:num>
  <w:num w:numId="30">
    <w:abstractNumId w:val="31"/>
  </w:num>
  <w:num w:numId="31">
    <w:abstractNumId w:val="8"/>
  </w:num>
  <w:num w:numId="32">
    <w:abstractNumId w:val="6"/>
  </w:num>
  <w:num w:numId="33">
    <w:abstractNumId w:val="12"/>
  </w:num>
  <w:num w:numId="34">
    <w:abstractNumId w:val="14"/>
  </w:num>
  <w:num w:numId="35">
    <w:abstractNumId w:val="17"/>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646DF"/>
    <w:rsid w:val="0006704A"/>
    <w:rsid w:val="00071657"/>
    <w:rsid w:val="00073DD5"/>
    <w:rsid w:val="00084A07"/>
    <w:rsid w:val="000973CE"/>
    <w:rsid w:val="000A37D0"/>
    <w:rsid w:val="000B3CB7"/>
    <w:rsid w:val="000B53B0"/>
    <w:rsid w:val="000B5C30"/>
    <w:rsid w:val="000C12EC"/>
    <w:rsid w:val="000D7AA8"/>
    <w:rsid w:val="000E041A"/>
    <w:rsid w:val="000F4836"/>
    <w:rsid w:val="00102E24"/>
    <w:rsid w:val="00107C0A"/>
    <w:rsid w:val="0011067E"/>
    <w:rsid w:val="001979F1"/>
    <w:rsid w:val="001B0DEC"/>
    <w:rsid w:val="001C0A3B"/>
    <w:rsid w:val="001D434A"/>
    <w:rsid w:val="001E58AE"/>
    <w:rsid w:val="001F5233"/>
    <w:rsid w:val="002032D2"/>
    <w:rsid w:val="0020357C"/>
    <w:rsid w:val="00245085"/>
    <w:rsid w:val="00250BFB"/>
    <w:rsid w:val="002539F8"/>
    <w:rsid w:val="00267208"/>
    <w:rsid w:val="00275DB0"/>
    <w:rsid w:val="00280222"/>
    <w:rsid w:val="002A0C62"/>
    <w:rsid w:val="002A71A2"/>
    <w:rsid w:val="002C2A10"/>
    <w:rsid w:val="002D383B"/>
    <w:rsid w:val="002E1027"/>
    <w:rsid w:val="002F4617"/>
    <w:rsid w:val="0030097D"/>
    <w:rsid w:val="00306F90"/>
    <w:rsid w:val="00306FFC"/>
    <w:rsid w:val="003368DB"/>
    <w:rsid w:val="00337837"/>
    <w:rsid w:val="003648B1"/>
    <w:rsid w:val="0037106C"/>
    <w:rsid w:val="00385FE7"/>
    <w:rsid w:val="003951CF"/>
    <w:rsid w:val="003B1818"/>
    <w:rsid w:val="003B2854"/>
    <w:rsid w:val="003C37AD"/>
    <w:rsid w:val="003D1585"/>
    <w:rsid w:val="00406988"/>
    <w:rsid w:val="00412151"/>
    <w:rsid w:val="004166B5"/>
    <w:rsid w:val="004329F2"/>
    <w:rsid w:val="00437860"/>
    <w:rsid w:val="00447BE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E5B2F"/>
    <w:rsid w:val="004E6AA1"/>
    <w:rsid w:val="004F4367"/>
    <w:rsid w:val="005233A4"/>
    <w:rsid w:val="005242C6"/>
    <w:rsid w:val="00527131"/>
    <w:rsid w:val="005419B3"/>
    <w:rsid w:val="00546927"/>
    <w:rsid w:val="00555563"/>
    <w:rsid w:val="0056197A"/>
    <w:rsid w:val="005757FE"/>
    <w:rsid w:val="005A4E67"/>
    <w:rsid w:val="005C3DC0"/>
    <w:rsid w:val="005D2583"/>
    <w:rsid w:val="005E20E3"/>
    <w:rsid w:val="005E35FC"/>
    <w:rsid w:val="005E66E9"/>
    <w:rsid w:val="005F024D"/>
    <w:rsid w:val="005F1752"/>
    <w:rsid w:val="006228AA"/>
    <w:rsid w:val="00630E06"/>
    <w:rsid w:val="00641363"/>
    <w:rsid w:val="00643DA3"/>
    <w:rsid w:val="00644FCB"/>
    <w:rsid w:val="00670FBA"/>
    <w:rsid w:val="00690396"/>
    <w:rsid w:val="0069149E"/>
    <w:rsid w:val="006A6FAB"/>
    <w:rsid w:val="006D6994"/>
    <w:rsid w:val="00703F84"/>
    <w:rsid w:val="00704AAC"/>
    <w:rsid w:val="00734A14"/>
    <w:rsid w:val="007378BF"/>
    <w:rsid w:val="007408C8"/>
    <w:rsid w:val="007416CD"/>
    <w:rsid w:val="007645A8"/>
    <w:rsid w:val="007D557D"/>
    <w:rsid w:val="007D7229"/>
    <w:rsid w:val="007E1F8F"/>
    <w:rsid w:val="007E4D87"/>
    <w:rsid w:val="007F0AE0"/>
    <w:rsid w:val="00811F25"/>
    <w:rsid w:val="008124CC"/>
    <w:rsid w:val="00865AA2"/>
    <w:rsid w:val="008B5385"/>
    <w:rsid w:val="008C527F"/>
    <w:rsid w:val="0092546E"/>
    <w:rsid w:val="00942EDC"/>
    <w:rsid w:val="00960E2D"/>
    <w:rsid w:val="009610A0"/>
    <w:rsid w:val="00974689"/>
    <w:rsid w:val="00980949"/>
    <w:rsid w:val="009874F8"/>
    <w:rsid w:val="00994ED7"/>
    <w:rsid w:val="009B2C41"/>
    <w:rsid w:val="009B7939"/>
    <w:rsid w:val="009D32AF"/>
    <w:rsid w:val="009D5F2B"/>
    <w:rsid w:val="009F0C19"/>
    <w:rsid w:val="00A11769"/>
    <w:rsid w:val="00A14AFD"/>
    <w:rsid w:val="00A252AB"/>
    <w:rsid w:val="00A30F46"/>
    <w:rsid w:val="00A33B6B"/>
    <w:rsid w:val="00A654CA"/>
    <w:rsid w:val="00A904DA"/>
    <w:rsid w:val="00A952F9"/>
    <w:rsid w:val="00AA1D57"/>
    <w:rsid w:val="00AB6F3F"/>
    <w:rsid w:val="00AF4655"/>
    <w:rsid w:val="00B20DF2"/>
    <w:rsid w:val="00B268F2"/>
    <w:rsid w:val="00B416FF"/>
    <w:rsid w:val="00B66983"/>
    <w:rsid w:val="00B95C82"/>
    <w:rsid w:val="00BB3958"/>
    <w:rsid w:val="00BB75F5"/>
    <w:rsid w:val="00BC57AF"/>
    <w:rsid w:val="00BE1738"/>
    <w:rsid w:val="00BF5547"/>
    <w:rsid w:val="00BF57DA"/>
    <w:rsid w:val="00BF747C"/>
    <w:rsid w:val="00C057AA"/>
    <w:rsid w:val="00C213CB"/>
    <w:rsid w:val="00C2436E"/>
    <w:rsid w:val="00C36128"/>
    <w:rsid w:val="00C4392E"/>
    <w:rsid w:val="00C50CD3"/>
    <w:rsid w:val="00C92B3D"/>
    <w:rsid w:val="00C94EDC"/>
    <w:rsid w:val="00CA029B"/>
    <w:rsid w:val="00CD4399"/>
    <w:rsid w:val="00CD6087"/>
    <w:rsid w:val="00CD65DE"/>
    <w:rsid w:val="00CE2151"/>
    <w:rsid w:val="00CF0B96"/>
    <w:rsid w:val="00CF5700"/>
    <w:rsid w:val="00D30447"/>
    <w:rsid w:val="00D514C2"/>
    <w:rsid w:val="00D566C6"/>
    <w:rsid w:val="00D702F8"/>
    <w:rsid w:val="00D8503D"/>
    <w:rsid w:val="00DB5964"/>
    <w:rsid w:val="00DC3D48"/>
    <w:rsid w:val="00DF03C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790D"/>
    <w:rsid w:val="00EC5EED"/>
    <w:rsid w:val="00ED304B"/>
    <w:rsid w:val="00F00309"/>
    <w:rsid w:val="00F24096"/>
    <w:rsid w:val="00F3386F"/>
    <w:rsid w:val="00F4298F"/>
    <w:rsid w:val="00F469A0"/>
    <w:rsid w:val="00F5530C"/>
    <w:rsid w:val="00F63BFD"/>
    <w:rsid w:val="00FA08DD"/>
    <w:rsid w:val="00FA7163"/>
    <w:rsid w:val="00FB7C9B"/>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D3"/>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2023-06-22T10:38:00Z</dcterms:created>
  <dcterms:modified xsi:type="dcterms:W3CDTF">2023-06-22T10:38:00Z</dcterms:modified>
</cp:coreProperties>
</file>