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51" w:rsidRDefault="00DB2C07" w:rsidP="006C090A">
      <w:pPr>
        <w:tabs>
          <w:tab w:val="left" w:pos="7020"/>
        </w:tabs>
        <w:spacing w:line="360" w:lineRule="auto"/>
        <w:jc w:val="center"/>
        <w:rPr>
          <w:rFonts w:ascii="Arial" w:hAnsi="Arial" w:cs="Arial"/>
          <w:b/>
          <w:sz w:val="24"/>
          <w:szCs w:val="24"/>
          <w:u w:val="single"/>
        </w:rPr>
      </w:pPr>
      <w:r>
        <w:rPr>
          <w:noProof/>
          <w:lang w:val="en-ZA" w:eastAsia="en-ZA"/>
        </w:rPr>
        <w:drawing>
          <wp:inline distT="0" distB="0" distL="0" distR="0">
            <wp:extent cx="1971675"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71675" cy="1533525"/>
                    </a:xfrm>
                    <a:prstGeom prst="rect">
                      <a:avLst/>
                    </a:prstGeom>
                    <a:noFill/>
                    <a:ln w="9525">
                      <a:noFill/>
                      <a:miter lim="800000"/>
                      <a:headEnd/>
                      <a:tailEnd/>
                    </a:ln>
                  </pic:spPr>
                </pic:pic>
              </a:graphicData>
            </a:graphic>
          </wp:inline>
        </w:drawing>
      </w:r>
    </w:p>
    <w:p w:rsidR="006C090A" w:rsidRPr="00995251" w:rsidRDefault="006C090A" w:rsidP="00995251">
      <w:pPr>
        <w:tabs>
          <w:tab w:val="left" w:pos="7020"/>
        </w:tabs>
        <w:jc w:val="center"/>
        <w:rPr>
          <w:rFonts w:ascii="Arial" w:hAnsi="Arial" w:cs="Arial"/>
          <w:b/>
          <w:sz w:val="24"/>
          <w:szCs w:val="24"/>
        </w:rPr>
      </w:pPr>
      <w:r w:rsidRPr="00995251">
        <w:rPr>
          <w:rFonts w:ascii="Arial" w:hAnsi="Arial" w:cs="Arial"/>
          <w:b/>
          <w:sz w:val="24"/>
          <w:szCs w:val="24"/>
        </w:rPr>
        <w:t>PARLIAMENT OF THE REPUBLIC OF SOUTH AFRICA</w:t>
      </w:r>
    </w:p>
    <w:p w:rsidR="00995251" w:rsidRDefault="00995251" w:rsidP="00995251">
      <w:pPr>
        <w:tabs>
          <w:tab w:val="left" w:pos="7020"/>
        </w:tabs>
        <w:jc w:val="center"/>
        <w:rPr>
          <w:rFonts w:ascii="Arial" w:hAnsi="Arial" w:cs="Arial"/>
          <w:b/>
          <w:sz w:val="24"/>
          <w:szCs w:val="24"/>
        </w:rPr>
      </w:pPr>
    </w:p>
    <w:p w:rsidR="006C090A" w:rsidRPr="00995251" w:rsidRDefault="006C090A" w:rsidP="00995251">
      <w:pPr>
        <w:tabs>
          <w:tab w:val="left" w:pos="7020"/>
        </w:tabs>
        <w:jc w:val="center"/>
        <w:rPr>
          <w:rFonts w:ascii="Arial" w:hAnsi="Arial" w:cs="Arial"/>
          <w:b/>
          <w:sz w:val="24"/>
          <w:szCs w:val="24"/>
        </w:rPr>
      </w:pPr>
      <w:r w:rsidRPr="00995251">
        <w:rPr>
          <w:rFonts w:ascii="Arial" w:hAnsi="Arial" w:cs="Arial"/>
          <w:b/>
          <w:sz w:val="24"/>
          <w:szCs w:val="24"/>
        </w:rPr>
        <w:t>NATIONAL ASSEMBLY</w:t>
      </w:r>
    </w:p>
    <w:p w:rsidR="006C090A" w:rsidRPr="00995251" w:rsidRDefault="006C090A" w:rsidP="00995251">
      <w:pPr>
        <w:tabs>
          <w:tab w:val="left" w:pos="7020"/>
        </w:tabs>
        <w:rPr>
          <w:rFonts w:ascii="Arial" w:hAnsi="Arial" w:cs="Arial"/>
          <w:b/>
          <w:sz w:val="24"/>
          <w:szCs w:val="24"/>
        </w:rPr>
      </w:pPr>
    </w:p>
    <w:p w:rsidR="006C090A" w:rsidRPr="00995251" w:rsidRDefault="006C090A" w:rsidP="00995251">
      <w:pPr>
        <w:tabs>
          <w:tab w:val="left" w:pos="7020"/>
        </w:tabs>
        <w:jc w:val="center"/>
        <w:rPr>
          <w:rFonts w:ascii="Arial" w:hAnsi="Arial" w:cs="Arial"/>
          <w:b/>
          <w:sz w:val="24"/>
          <w:szCs w:val="24"/>
        </w:rPr>
      </w:pPr>
      <w:r w:rsidRPr="00995251">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542F0B">
        <w:rPr>
          <w:rFonts w:ascii="Arial" w:hAnsi="Arial" w:cs="Arial"/>
          <w:b/>
          <w:sz w:val="24"/>
          <w:szCs w:val="24"/>
        </w:rPr>
        <w:t>1791</w:t>
      </w:r>
    </w:p>
    <w:p w:rsidR="00542F0B" w:rsidRPr="00542F0B" w:rsidRDefault="00542F0B" w:rsidP="00542F0B">
      <w:pPr>
        <w:spacing w:before="280" w:after="280"/>
        <w:jc w:val="both"/>
        <w:rPr>
          <w:rFonts w:ascii="Arial" w:eastAsia="Calibri" w:hAnsi="Arial" w:cs="Arial"/>
          <w:sz w:val="24"/>
          <w:szCs w:val="24"/>
          <w:lang w:val="en-ZA" w:eastAsia="en-ZA"/>
        </w:rPr>
      </w:pPr>
      <w:r w:rsidRPr="00542F0B">
        <w:rPr>
          <w:rFonts w:ascii="Arial" w:eastAsia="Calibri" w:hAnsi="Arial" w:cs="Arial"/>
          <w:b/>
          <w:bCs/>
          <w:sz w:val="24"/>
          <w:szCs w:val="24"/>
          <w:lang w:val="en-ZA" w:eastAsia="en-ZA"/>
        </w:rPr>
        <w:t>Ms P T van Damme (DA) to ask the Minister of Communications:</w:t>
      </w:r>
    </w:p>
    <w:p w:rsidR="00542F0B" w:rsidRPr="00542F0B" w:rsidRDefault="00542F0B" w:rsidP="00A115E9">
      <w:pPr>
        <w:spacing w:before="240"/>
        <w:ind w:left="426" w:hanging="426"/>
        <w:jc w:val="both"/>
        <w:rPr>
          <w:rFonts w:ascii="Arial" w:eastAsia="Calibri" w:hAnsi="Arial" w:cs="Arial"/>
          <w:sz w:val="24"/>
          <w:szCs w:val="24"/>
          <w:lang w:val="en-ZA" w:eastAsia="en-ZA"/>
        </w:rPr>
      </w:pPr>
      <w:r w:rsidRPr="00542F0B">
        <w:rPr>
          <w:rFonts w:ascii="Arial" w:eastAsia="Calibri" w:hAnsi="Arial" w:cs="Arial"/>
          <w:color w:val="000000"/>
          <w:sz w:val="24"/>
          <w:szCs w:val="24"/>
          <w:lang w:val="en-ZA" w:eastAsia="en-ZA"/>
        </w:rPr>
        <w:t>(1)</w:t>
      </w:r>
      <w:r w:rsidRPr="00542F0B">
        <w:rPr>
          <w:rFonts w:ascii="Arial" w:eastAsia="Calibri" w:hAnsi="Arial" w:cs="Arial"/>
          <w:sz w:val="24"/>
          <w:szCs w:val="24"/>
          <w:lang w:val="en-ZA" w:eastAsia="en-ZA"/>
        </w:rPr>
        <w:t>   What (a) is the total number of cases that were investigated by the forensic unit of the SA Broadcasting Corporation in the past two financial years up to the latest specified date for which information is available, (b) are the amounts involved in each case and (c) number of cases resulted in (i) disciplinary action, (ii) criminal procedures and (iii) is the stated deadline for conclusion of each case where disciplinary procedures were instituted; </w:t>
      </w:r>
    </w:p>
    <w:p w:rsidR="00542F0B" w:rsidRPr="00542F0B" w:rsidRDefault="00542F0B" w:rsidP="00A115E9">
      <w:pPr>
        <w:spacing w:before="240"/>
        <w:ind w:left="567" w:hanging="567"/>
        <w:jc w:val="both"/>
        <w:rPr>
          <w:rFonts w:ascii="Arial" w:eastAsia="Calibri" w:hAnsi="Arial" w:cs="Arial"/>
          <w:sz w:val="24"/>
          <w:szCs w:val="24"/>
          <w:lang w:val="en-ZA" w:eastAsia="en-ZA"/>
        </w:rPr>
      </w:pPr>
      <w:r w:rsidRPr="00542F0B">
        <w:rPr>
          <w:rFonts w:ascii="Arial" w:eastAsia="Calibri" w:hAnsi="Arial" w:cs="Arial"/>
          <w:color w:val="000000"/>
          <w:sz w:val="24"/>
          <w:szCs w:val="24"/>
          <w:lang w:val="en-ZA" w:eastAsia="en-ZA"/>
        </w:rPr>
        <w:t>(2)</w:t>
      </w:r>
      <w:r w:rsidRPr="00542F0B">
        <w:rPr>
          <w:rFonts w:ascii="Arial" w:eastAsia="Calibri" w:hAnsi="Arial" w:cs="Arial"/>
          <w:sz w:val="24"/>
          <w:szCs w:val="24"/>
          <w:lang w:val="en-ZA" w:eastAsia="en-ZA"/>
        </w:rPr>
        <w:t>   whether any of the specified cases led to no action whatsoever; if not, why not; if so, (a) what number of cases, (b) why has no action been instituted in respect of the specified cases and (c) on what date will the investigation be concluded in this regard?                                                                                               NW2182E</w:t>
      </w:r>
    </w:p>
    <w:p w:rsidR="00542F0B" w:rsidRPr="008E5265" w:rsidRDefault="00542F0B" w:rsidP="00542F0B">
      <w:pPr>
        <w:tabs>
          <w:tab w:val="left" w:pos="180"/>
        </w:tabs>
        <w:rPr>
          <w:rFonts w:ascii="Arial" w:hAnsi="Arial" w:cs="Arial"/>
          <w:b/>
          <w:sz w:val="24"/>
          <w:szCs w:val="24"/>
        </w:rPr>
      </w:pPr>
    </w:p>
    <w:p w:rsidR="00542F0B" w:rsidRPr="00F45314" w:rsidRDefault="00542F0B" w:rsidP="00542F0B">
      <w:pPr>
        <w:shd w:val="clear" w:color="auto" w:fill="FFFFFF"/>
        <w:tabs>
          <w:tab w:val="left" w:pos="4408"/>
        </w:tabs>
        <w:jc w:val="both"/>
        <w:rPr>
          <w:rFonts w:ascii="Arial" w:eastAsia="Calibri" w:hAnsi="Arial" w:cs="Arial"/>
          <w:b/>
          <w:sz w:val="24"/>
          <w:szCs w:val="24"/>
          <w:lang w:val="en-ZA"/>
        </w:rPr>
      </w:pPr>
      <w:r w:rsidRPr="00F45314">
        <w:rPr>
          <w:rFonts w:ascii="Arial" w:eastAsia="Calibri" w:hAnsi="Arial" w:cs="Arial"/>
          <w:b/>
          <w:sz w:val="24"/>
          <w:szCs w:val="24"/>
          <w:lang w:val="en-ZA"/>
        </w:rPr>
        <w:t>REPLY:</w:t>
      </w:r>
    </w:p>
    <w:p w:rsidR="00542F0B" w:rsidRPr="00F45314" w:rsidRDefault="00542F0B" w:rsidP="00542F0B">
      <w:pPr>
        <w:shd w:val="clear" w:color="auto" w:fill="FFFFFF"/>
        <w:tabs>
          <w:tab w:val="left" w:pos="4408"/>
        </w:tabs>
        <w:jc w:val="both"/>
        <w:rPr>
          <w:rFonts w:ascii="Arial" w:eastAsia="Calibri" w:hAnsi="Arial" w:cs="Arial"/>
          <w:bCs/>
          <w:sz w:val="24"/>
          <w:szCs w:val="24"/>
          <w:lang w:val="en-ZA"/>
        </w:rPr>
      </w:pPr>
    </w:p>
    <w:p w:rsidR="00542F0B" w:rsidRPr="00F45314" w:rsidRDefault="00542F0B" w:rsidP="00542F0B">
      <w:pPr>
        <w:shd w:val="clear" w:color="auto" w:fill="FFFFFF"/>
        <w:tabs>
          <w:tab w:val="left" w:pos="4408"/>
        </w:tabs>
        <w:spacing w:line="360" w:lineRule="auto"/>
        <w:jc w:val="both"/>
        <w:rPr>
          <w:rFonts w:ascii="Arial" w:eastAsia="Calibri" w:hAnsi="Arial" w:cs="Arial"/>
          <w:b/>
          <w:bCs/>
          <w:sz w:val="24"/>
          <w:szCs w:val="24"/>
          <w:lang w:val="en-ZA"/>
        </w:rPr>
      </w:pPr>
      <w:r w:rsidRPr="00F45314">
        <w:rPr>
          <w:rFonts w:ascii="Arial" w:eastAsia="Calibri" w:hAnsi="Arial" w:cs="Arial"/>
          <w:b/>
          <w:bCs/>
          <w:sz w:val="24"/>
          <w:szCs w:val="24"/>
          <w:lang w:val="en-ZA"/>
        </w:rPr>
        <w:t xml:space="preserve">I have been advised by </w:t>
      </w:r>
      <w:r>
        <w:rPr>
          <w:rFonts w:ascii="Arial" w:eastAsia="Calibri" w:hAnsi="Arial" w:cs="Arial"/>
          <w:b/>
          <w:bCs/>
          <w:sz w:val="24"/>
          <w:szCs w:val="24"/>
          <w:lang w:val="en-ZA"/>
        </w:rPr>
        <w:t>SABC</w:t>
      </w:r>
      <w:r w:rsidRPr="00F45314">
        <w:rPr>
          <w:rFonts w:ascii="Arial" w:eastAsia="Calibri" w:hAnsi="Arial" w:cs="Arial"/>
          <w:b/>
          <w:bCs/>
          <w:sz w:val="24"/>
          <w:szCs w:val="24"/>
          <w:lang w:val="en-ZA"/>
        </w:rPr>
        <w:t xml:space="preserve"> as follows:</w:t>
      </w:r>
    </w:p>
    <w:p w:rsidR="00542F0B" w:rsidRDefault="00542F0B" w:rsidP="00542F0B">
      <w:pPr>
        <w:tabs>
          <w:tab w:val="left" w:pos="180"/>
        </w:tabs>
        <w:spacing w:line="360" w:lineRule="auto"/>
        <w:jc w:val="both"/>
        <w:rPr>
          <w:rFonts w:ascii="Arial" w:hAnsi="Arial" w:cs="Arial"/>
          <w:b/>
          <w:sz w:val="24"/>
          <w:szCs w:val="24"/>
        </w:rPr>
      </w:pPr>
    </w:p>
    <w:p w:rsidR="00542F0B" w:rsidRPr="00A90F4D" w:rsidRDefault="00542F0B" w:rsidP="00A115E9">
      <w:pPr>
        <w:pStyle w:val="NormalWeb"/>
        <w:numPr>
          <w:ilvl w:val="0"/>
          <w:numId w:val="4"/>
        </w:numPr>
        <w:ind w:left="714" w:hanging="357"/>
        <w:jc w:val="both"/>
        <w:rPr>
          <w:rFonts w:ascii="Arial" w:eastAsia="Calibri" w:hAnsi="Arial" w:cs="Arial"/>
          <w:iCs/>
          <w:lang w:val="en-ZA" w:eastAsia="en-GB"/>
        </w:rPr>
      </w:pPr>
      <w:r w:rsidRPr="00A90F4D">
        <w:rPr>
          <w:rFonts w:ascii="Arial" w:eastAsia="Calibri" w:hAnsi="Arial" w:cs="Arial"/>
          <w:iCs/>
          <w:lang w:val="en-ZA" w:eastAsia="en-GB"/>
        </w:rPr>
        <w:t xml:space="preserve">A total of </w:t>
      </w:r>
      <w:r>
        <w:rPr>
          <w:rFonts w:ascii="Arial" w:eastAsia="Calibri" w:hAnsi="Arial" w:cs="Arial"/>
          <w:iCs/>
          <w:lang w:val="en-ZA" w:eastAsia="en-GB"/>
        </w:rPr>
        <w:t>34</w:t>
      </w:r>
      <w:r w:rsidRPr="00A90F4D">
        <w:rPr>
          <w:rFonts w:ascii="Arial" w:eastAsia="Calibri" w:hAnsi="Arial" w:cs="Arial"/>
          <w:iCs/>
          <w:lang w:val="en-ZA" w:eastAsia="en-GB"/>
        </w:rPr>
        <w:t xml:space="preserve"> cases were investigated in 2018/19 and 32 </w:t>
      </w:r>
      <w:r>
        <w:rPr>
          <w:rFonts w:ascii="Arial" w:eastAsia="Calibri" w:hAnsi="Arial" w:cs="Arial"/>
          <w:iCs/>
          <w:lang w:val="en-ZA" w:eastAsia="en-GB"/>
        </w:rPr>
        <w:t xml:space="preserve">in </w:t>
      </w:r>
      <w:r w:rsidRPr="00A90F4D">
        <w:rPr>
          <w:rFonts w:ascii="Arial" w:eastAsia="Calibri" w:hAnsi="Arial" w:cs="Arial"/>
          <w:iCs/>
          <w:lang w:val="en-ZA" w:eastAsia="en-GB"/>
        </w:rPr>
        <w:t xml:space="preserve">2019/20. </w:t>
      </w:r>
    </w:p>
    <w:p w:rsidR="00542F0B" w:rsidRDefault="00542F0B" w:rsidP="00A115E9">
      <w:pPr>
        <w:numPr>
          <w:ilvl w:val="0"/>
          <w:numId w:val="4"/>
        </w:numPr>
        <w:ind w:left="714" w:hanging="357"/>
        <w:jc w:val="both"/>
        <w:rPr>
          <w:rFonts w:ascii="Arial" w:hAnsi="Arial" w:cs="Arial"/>
          <w:bCs/>
          <w:sz w:val="24"/>
          <w:szCs w:val="24"/>
        </w:rPr>
      </w:pPr>
      <w:r>
        <w:rPr>
          <w:rFonts w:ascii="Arial" w:hAnsi="Arial" w:cs="Arial"/>
          <w:bCs/>
          <w:sz w:val="24"/>
          <w:szCs w:val="24"/>
        </w:rPr>
        <w:t>Annexure A is attached which contains the details of amounts for each case</w:t>
      </w:r>
    </w:p>
    <w:p w:rsidR="00542F0B" w:rsidRDefault="00542F0B" w:rsidP="00A115E9">
      <w:pPr>
        <w:numPr>
          <w:ilvl w:val="0"/>
          <w:numId w:val="4"/>
        </w:numPr>
        <w:ind w:left="714" w:hanging="357"/>
        <w:jc w:val="both"/>
        <w:rPr>
          <w:rFonts w:ascii="Arial" w:hAnsi="Arial" w:cs="Arial"/>
          <w:bCs/>
          <w:sz w:val="24"/>
          <w:szCs w:val="24"/>
        </w:rPr>
      </w:pPr>
      <w:r w:rsidRPr="00542F0B">
        <w:rPr>
          <w:rFonts w:ascii="Arial" w:hAnsi="Arial" w:cs="Arial"/>
          <w:bCs/>
          <w:sz w:val="24"/>
          <w:szCs w:val="24"/>
        </w:rPr>
        <w:t>(i and ii)</w:t>
      </w:r>
    </w:p>
    <w:p w:rsidR="00A115E9" w:rsidRDefault="00A115E9" w:rsidP="00A115E9">
      <w:pPr>
        <w:jc w:val="both"/>
        <w:rPr>
          <w:rFonts w:ascii="Arial" w:hAnsi="Arial" w:cs="Arial"/>
          <w:bCs/>
          <w:sz w:val="24"/>
          <w:szCs w:val="24"/>
        </w:rPr>
      </w:pPr>
    </w:p>
    <w:p w:rsidR="00A115E9" w:rsidRPr="00542F0B" w:rsidRDefault="00A115E9" w:rsidP="00A115E9">
      <w:pPr>
        <w:jc w:val="both"/>
        <w:rPr>
          <w:rFonts w:ascii="Arial" w:hAnsi="Arial" w:cs="Arial"/>
          <w:bCs/>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8"/>
        <w:gridCol w:w="3296"/>
        <w:gridCol w:w="3139"/>
      </w:tblGrid>
      <w:tr w:rsidR="00542F0B" w:rsidRPr="000814D3" w:rsidTr="00711BB2">
        <w:tc>
          <w:tcPr>
            <w:tcW w:w="2788" w:type="dxa"/>
            <w:shd w:val="clear" w:color="auto" w:fill="ED7D31"/>
          </w:tcPr>
          <w:p w:rsidR="00542F0B" w:rsidRPr="000814D3" w:rsidRDefault="00542F0B" w:rsidP="00711BB2">
            <w:pPr>
              <w:spacing w:line="360" w:lineRule="auto"/>
              <w:jc w:val="both"/>
              <w:rPr>
                <w:rFonts w:ascii="Arial" w:hAnsi="Arial" w:cs="Arial"/>
                <w:bCs/>
                <w:sz w:val="24"/>
                <w:szCs w:val="24"/>
              </w:rPr>
            </w:pPr>
            <w:r w:rsidRPr="000814D3">
              <w:rPr>
                <w:rFonts w:ascii="Arial" w:hAnsi="Arial" w:cs="Arial"/>
                <w:bCs/>
                <w:sz w:val="24"/>
                <w:szCs w:val="24"/>
              </w:rPr>
              <w:t>Items</w:t>
            </w:r>
          </w:p>
        </w:tc>
        <w:tc>
          <w:tcPr>
            <w:tcW w:w="3296" w:type="dxa"/>
            <w:shd w:val="clear" w:color="auto" w:fill="ED7D31"/>
          </w:tcPr>
          <w:p w:rsidR="00542F0B" w:rsidRPr="000814D3" w:rsidRDefault="00542F0B" w:rsidP="00711BB2">
            <w:pPr>
              <w:spacing w:line="360" w:lineRule="auto"/>
              <w:jc w:val="both"/>
              <w:rPr>
                <w:rFonts w:ascii="Arial" w:hAnsi="Arial" w:cs="Arial"/>
                <w:bCs/>
                <w:sz w:val="24"/>
                <w:szCs w:val="24"/>
              </w:rPr>
            </w:pPr>
            <w:r w:rsidRPr="000814D3">
              <w:rPr>
                <w:rFonts w:ascii="Arial" w:hAnsi="Arial" w:cs="Arial"/>
                <w:bCs/>
                <w:sz w:val="24"/>
                <w:szCs w:val="24"/>
              </w:rPr>
              <w:t>2018/19 FY</w:t>
            </w:r>
          </w:p>
        </w:tc>
        <w:tc>
          <w:tcPr>
            <w:tcW w:w="3139" w:type="dxa"/>
            <w:shd w:val="clear" w:color="auto" w:fill="ED7D31"/>
          </w:tcPr>
          <w:p w:rsidR="00542F0B" w:rsidRPr="000814D3" w:rsidRDefault="00542F0B" w:rsidP="00711BB2">
            <w:pPr>
              <w:spacing w:line="360" w:lineRule="auto"/>
              <w:jc w:val="both"/>
              <w:rPr>
                <w:rFonts w:ascii="Arial" w:hAnsi="Arial" w:cs="Arial"/>
                <w:bCs/>
                <w:sz w:val="24"/>
                <w:szCs w:val="24"/>
              </w:rPr>
            </w:pPr>
            <w:r w:rsidRPr="000814D3">
              <w:rPr>
                <w:rFonts w:ascii="Arial" w:hAnsi="Arial" w:cs="Arial"/>
                <w:bCs/>
                <w:sz w:val="24"/>
                <w:szCs w:val="24"/>
              </w:rPr>
              <w:t>2019/20 FY</w:t>
            </w:r>
          </w:p>
        </w:tc>
      </w:tr>
      <w:tr w:rsidR="00542F0B" w:rsidRPr="000814D3" w:rsidTr="00711BB2">
        <w:tc>
          <w:tcPr>
            <w:tcW w:w="2788" w:type="dxa"/>
            <w:shd w:val="clear" w:color="auto" w:fill="auto"/>
          </w:tcPr>
          <w:p w:rsidR="00542F0B" w:rsidRPr="000814D3" w:rsidRDefault="00542F0B" w:rsidP="00711BB2">
            <w:pPr>
              <w:spacing w:line="360" w:lineRule="auto"/>
              <w:jc w:val="both"/>
              <w:rPr>
                <w:rFonts w:ascii="Arial" w:hAnsi="Arial" w:cs="Arial"/>
                <w:bCs/>
                <w:sz w:val="24"/>
                <w:szCs w:val="24"/>
              </w:rPr>
            </w:pPr>
            <w:r w:rsidRPr="000814D3">
              <w:rPr>
                <w:rFonts w:ascii="Arial" w:hAnsi="Arial" w:cs="Arial"/>
                <w:bCs/>
                <w:sz w:val="24"/>
                <w:szCs w:val="24"/>
              </w:rPr>
              <w:t>Disciplinary Actions</w:t>
            </w:r>
          </w:p>
        </w:tc>
        <w:tc>
          <w:tcPr>
            <w:tcW w:w="3296" w:type="dxa"/>
            <w:shd w:val="clear" w:color="auto" w:fill="auto"/>
          </w:tcPr>
          <w:p w:rsidR="00542F0B" w:rsidRPr="000814D3" w:rsidRDefault="00542F0B" w:rsidP="00711BB2">
            <w:pPr>
              <w:spacing w:line="360" w:lineRule="auto"/>
              <w:jc w:val="both"/>
              <w:rPr>
                <w:rFonts w:ascii="Arial" w:hAnsi="Arial" w:cs="Arial"/>
                <w:bCs/>
                <w:sz w:val="24"/>
                <w:szCs w:val="24"/>
              </w:rPr>
            </w:pPr>
            <w:r w:rsidRPr="000814D3">
              <w:rPr>
                <w:rFonts w:ascii="Arial" w:hAnsi="Arial" w:cs="Arial"/>
                <w:bCs/>
                <w:sz w:val="24"/>
                <w:szCs w:val="24"/>
              </w:rPr>
              <w:t>23</w:t>
            </w:r>
          </w:p>
        </w:tc>
        <w:tc>
          <w:tcPr>
            <w:tcW w:w="3139" w:type="dxa"/>
            <w:shd w:val="clear" w:color="auto" w:fill="auto"/>
          </w:tcPr>
          <w:p w:rsidR="00542F0B" w:rsidRPr="000814D3" w:rsidRDefault="00542F0B" w:rsidP="00711BB2">
            <w:pPr>
              <w:spacing w:line="360" w:lineRule="auto"/>
              <w:jc w:val="both"/>
              <w:rPr>
                <w:rFonts w:ascii="Arial" w:hAnsi="Arial" w:cs="Arial"/>
                <w:bCs/>
                <w:sz w:val="24"/>
                <w:szCs w:val="24"/>
              </w:rPr>
            </w:pPr>
            <w:r w:rsidRPr="000814D3">
              <w:rPr>
                <w:rFonts w:ascii="Arial" w:hAnsi="Arial" w:cs="Arial"/>
                <w:bCs/>
                <w:sz w:val="24"/>
                <w:szCs w:val="24"/>
              </w:rPr>
              <w:t>16</w:t>
            </w:r>
          </w:p>
        </w:tc>
      </w:tr>
      <w:tr w:rsidR="00542F0B" w:rsidRPr="000814D3" w:rsidTr="00711BB2">
        <w:tc>
          <w:tcPr>
            <w:tcW w:w="2788" w:type="dxa"/>
            <w:shd w:val="clear" w:color="auto" w:fill="auto"/>
          </w:tcPr>
          <w:p w:rsidR="00542F0B" w:rsidRPr="000814D3" w:rsidRDefault="00542F0B" w:rsidP="00711BB2">
            <w:pPr>
              <w:spacing w:line="360" w:lineRule="auto"/>
              <w:jc w:val="both"/>
              <w:rPr>
                <w:rFonts w:ascii="Arial" w:hAnsi="Arial" w:cs="Arial"/>
                <w:bCs/>
                <w:sz w:val="24"/>
                <w:szCs w:val="24"/>
              </w:rPr>
            </w:pPr>
            <w:r w:rsidRPr="000814D3">
              <w:rPr>
                <w:rFonts w:ascii="Arial" w:hAnsi="Arial" w:cs="Arial"/>
                <w:bCs/>
                <w:sz w:val="24"/>
                <w:szCs w:val="24"/>
              </w:rPr>
              <w:t>Criminal Procedures</w:t>
            </w:r>
          </w:p>
        </w:tc>
        <w:tc>
          <w:tcPr>
            <w:tcW w:w="3296" w:type="dxa"/>
            <w:shd w:val="clear" w:color="auto" w:fill="auto"/>
          </w:tcPr>
          <w:p w:rsidR="00542F0B" w:rsidRPr="000814D3" w:rsidRDefault="00542F0B" w:rsidP="00711BB2">
            <w:pPr>
              <w:spacing w:line="360" w:lineRule="auto"/>
              <w:jc w:val="both"/>
              <w:rPr>
                <w:rFonts w:ascii="Arial" w:hAnsi="Arial" w:cs="Arial"/>
                <w:bCs/>
                <w:sz w:val="24"/>
                <w:szCs w:val="24"/>
              </w:rPr>
            </w:pPr>
            <w:r w:rsidRPr="000814D3">
              <w:rPr>
                <w:rFonts w:ascii="Arial" w:hAnsi="Arial" w:cs="Arial"/>
                <w:bCs/>
                <w:sz w:val="24"/>
                <w:szCs w:val="24"/>
              </w:rPr>
              <w:t>None</w:t>
            </w:r>
          </w:p>
        </w:tc>
        <w:tc>
          <w:tcPr>
            <w:tcW w:w="3139" w:type="dxa"/>
            <w:shd w:val="clear" w:color="auto" w:fill="auto"/>
          </w:tcPr>
          <w:p w:rsidR="00542F0B" w:rsidRPr="000814D3" w:rsidRDefault="00542F0B" w:rsidP="00711BB2">
            <w:pPr>
              <w:spacing w:line="360" w:lineRule="auto"/>
              <w:jc w:val="both"/>
              <w:rPr>
                <w:rFonts w:ascii="Arial" w:hAnsi="Arial" w:cs="Arial"/>
                <w:bCs/>
                <w:sz w:val="24"/>
                <w:szCs w:val="24"/>
              </w:rPr>
            </w:pPr>
            <w:r w:rsidRPr="000814D3">
              <w:rPr>
                <w:rFonts w:ascii="Arial" w:hAnsi="Arial" w:cs="Arial"/>
                <w:bCs/>
                <w:sz w:val="24"/>
                <w:szCs w:val="24"/>
              </w:rPr>
              <w:t>1</w:t>
            </w:r>
          </w:p>
        </w:tc>
      </w:tr>
    </w:tbl>
    <w:p w:rsidR="00542F0B" w:rsidRDefault="00542F0B" w:rsidP="00542F0B">
      <w:pPr>
        <w:spacing w:line="360" w:lineRule="auto"/>
        <w:ind w:left="284" w:firstLine="142"/>
        <w:jc w:val="both"/>
        <w:rPr>
          <w:rFonts w:ascii="Arial" w:hAnsi="Arial" w:cs="Arial"/>
          <w:bCs/>
          <w:sz w:val="24"/>
          <w:szCs w:val="24"/>
        </w:rPr>
      </w:pPr>
    </w:p>
    <w:p w:rsidR="00542F0B" w:rsidRDefault="00542F0B" w:rsidP="00A115E9">
      <w:pPr>
        <w:pStyle w:val="NormalWeb"/>
        <w:ind w:left="709" w:hanging="425"/>
        <w:jc w:val="both"/>
        <w:rPr>
          <w:rFonts w:ascii="Arial" w:eastAsia="Calibri" w:hAnsi="Arial" w:cs="Arial"/>
          <w:iCs/>
          <w:lang w:eastAsia="en-GB"/>
        </w:rPr>
      </w:pPr>
      <w:r w:rsidRPr="0091791D">
        <w:rPr>
          <w:rFonts w:ascii="Arial" w:hAnsi="Arial" w:cs="Arial"/>
          <w:bCs/>
        </w:rPr>
        <w:lastRenderedPageBreak/>
        <w:t xml:space="preserve">c) (iii) </w:t>
      </w:r>
      <w:r w:rsidRPr="0091791D">
        <w:rPr>
          <w:rFonts w:ascii="Arial" w:eastAsia="Calibri" w:hAnsi="Arial" w:cs="Arial"/>
          <w:iCs/>
          <w:lang w:eastAsia="en-GB"/>
        </w:rPr>
        <w:t>While the SABC endeavours to conclude</w:t>
      </w:r>
      <w:r>
        <w:rPr>
          <w:rFonts w:ascii="Arial" w:eastAsia="Calibri" w:hAnsi="Arial" w:cs="Arial"/>
          <w:iCs/>
          <w:lang w:eastAsia="en-GB"/>
        </w:rPr>
        <w:t xml:space="preserve"> disciplinary actions</w:t>
      </w:r>
      <w:r w:rsidRPr="0091791D">
        <w:rPr>
          <w:rFonts w:ascii="Arial" w:eastAsia="Calibri" w:hAnsi="Arial" w:cs="Arial"/>
          <w:iCs/>
          <w:lang w:eastAsia="en-GB"/>
        </w:rPr>
        <w:t xml:space="preserve"> within 90 days, actual timelines tend to be longer due to a variety of factors</w:t>
      </w:r>
      <w:r>
        <w:rPr>
          <w:rFonts w:ascii="Arial" w:eastAsia="Calibri" w:hAnsi="Arial" w:cs="Arial"/>
          <w:iCs/>
          <w:lang w:eastAsia="en-GB"/>
        </w:rPr>
        <w:t xml:space="preserve">. These include lack of corporation by </w:t>
      </w:r>
      <w:r w:rsidRPr="0091791D">
        <w:rPr>
          <w:rFonts w:ascii="Arial" w:eastAsia="Calibri" w:hAnsi="Arial" w:cs="Arial"/>
          <w:iCs/>
          <w:lang w:eastAsia="en-GB"/>
        </w:rPr>
        <w:t>those implicated to speedily engage in the process</w:t>
      </w:r>
      <w:r>
        <w:rPr>
          <w:rFonts w:ascii="Arial" w:eastAsia="Calibri" w:hAnsi="Arial" w:cs="Arial"/>
          <w:iCs/>
          <w:lang w:eastAsia="en-GB"/>
        </w:rPr>
        <w:t xml:space="preserve"> and </w:t>
      </w:r>
      <w:r w:rsidRPr="0091791D">
        <w:rPr>
          <w:rFonts w:ascii="Arial" w:eastAsia="Calibri" w:hAnsi="Arial" w:cs="Arial"/>
          <w:iCs/>
          <w:lang w:eastAsia="en-GB"/>
        </w:rPr>
        <w:t>the availability of Chairpersons, Initiators, Panel members</w:t>
      </w:r>
      <w:r>
        <w:rPr>
          <w:rFonts w:ascii="Arial" w:eastAsia="Calibri" w:hAnsi="Arial" w:cs="Arial"/>
          <w:iCs/>
          <w:lang w:eastAsia="en-GB"/>
        </w:rPr>
        <w:t xml:space="preserve"> of the disciplinary committees. There are </w:t>
      </w:r>
      <w:r w:rsidRPr="0091791D">
        <w:rPr>
          <w:rFonts w:ascii="Arial" w:eastAsia="Calibri" w:hAnsi="Arial" w:cs="Arial"/>
          <w:iCs/>
          <w:lang w:eastAsia="en-GB"/>
        </w:rPr>
        <w:t xml:space="preserve">ongoing </w:t>
      </w:r>
      <w:r>
        <w:rPr>
          <w:rFonts w:ascii="Arial" w:eastAsia="Calibri" w:hAnsi="Arial" w:cs="Arial"/>
          <w:iCs/>
          <w:lang w:eastAsia="en-GB"/>
        </w:rPr>
        <w:t xml:space="preserve">efforts </w:t>
      </w:r>
      <w:r w:rsidRPr="0091791D">
        <w:rPr>
          <w:rFonts w:ascii="Arial" w:eastAsia="Calibri" w:hAnsi="Arial" w:cs="Arial"/>
          <w:iCs/>
          <w:lang w:eastAsia="en-GB"/>
        </w:rPr>
        <w:t>to implement the outstanding recommendations by the end of this financial year.</w:t>
      </w:r>
    </w:p>
    <w:p w:rsidR="00A115E9" w:rsidRDefault="00A115E9" w:rsidP="00A115E9">
      <w:pPr>
        <w:pStyle w:val="NormalWeb"/>
        <w:ind w:left="709" w:hanging="425"/>
        <w:jc w:val="both"/>
        <w:rPr>
          <w:rFonts w:ascii="Arial" w:eastAsia="Calibri" w:hAnsi="Arial" w:cs="Arial"/>
          <w:iCs/>
          <w:lang w:eastAsia="en-GB"/>
        </w:rPr>
      </w:pPr>
    </w:p>
    <w:p w:rsidR="00542F0B" w:rsidRDefault="00542F0B" w:rsidP="00A115E9">
      <w:pPr>
        <w:ind w:left="284" w:hanging="284"/>
        <w:rPr>
          <w:rFonts w:ascii="Arial" w:eastAsia="Calibri" w:hAnsi="Arial" w:cs="Arial"/>
          <w:iCs/>
          <w:sz w:val="24"/>
          <w:szCs w:val="24"/>
          <w:lang w:eastAsia="en-GB"/>
        </w:rPr>
      </w:pPr>
      <w:r w:rsidRPr="0091791D">
        <w:rPr>
          <w:rFonts w:ascii="Arial" w:eastAsia="Calibri" w:hAnsi="Arial" w:cs="Arial"/>
          <w:iCs/>
          <w:sz w:val="24"/>
          <w:szCs w:val="24"/>
          <w:lang w:eastAsia="en-GB"/>
        </w:rPr>
        <w:t xml:space="preserve">2. </w:t>
      </w:r>
      <w:r>
        <w:rPr>
          <w:rFonts w:ascii="Arial" w:eastAsia="Calibri" w:hAnsi="Arial" w:cs="Arial"/>
          <w:iCs/>
          <w:sz w:val="24"/>
          <w:szCs w:val="24"/>
          <w:lang w:eastAsia="en-GB"/>
        </w:rPr>
        <w:t xml:space="preserve"> No action taken.</w:t>
      </w:r>
    </w:p>
    <w:p w:rsidR="00A115E9" w:rsidRDefault="00A115E9" w:rsidP="00A115E9">
      <w:pPr>
        <w:ind w:left="284" w:hanging="284"/>
        <w:rPr>
          <w:rFonts w:ascii="Arial" w:eastAsia="Calibri" w:hAnsi="Arial" w:cs="Arial"/>
          <w:iCs/>
          <w:sz w:val="24"/>
          <w:szCs w:val="24"/>
          <w:lang w:eastAsia="en-GB"/>
        </w:rPr>
      </w:pPr>
    </w:p>
    <w:p w:rsidR="00542F0B" w:rsidRDefault="00542F0B" w:rsidP="00A115E9">
      <w:pPr>
        <w:numPr>
          <w:ilvl w:val="0"/>
          <w:numId w:val="6"/>
        </w:numPr>
        <w:rPr>
          <w:rFonts w:ascii="Arial" w:eastAsia="Calibri" w:hAnsi="Arial" w:cs="Arial"/>
          <w:iCs/>
          <w:sz w:val="24"/>
          <w:szCs w:val="24"/>
          <w:lang w:eastAsia="en-GB"/>
        </w:rPr>
      </w:pPr>
      <w:r w:rsidRPr="0091791D">
        <w:rPr>
          <w:rFonts w:ascii="Arial" w:eastAsia="Calibri" w:hAnsi="Arial" w:cs="Arial"/>
          <w:sz w:val="24"/>
          <w:szCs w:val="24"/>
          <w:lang w:val="en-ZA" w:eastAsia="en-ZA"/>
        </w:rPr>
        <w:t xml:space="preserve">No action </w:t>
      </w:r>
      <w:r>
        <w:rPr>
          <w:rFonts w:ascii="Arial" w:eastAsia="Calibri" w:hAnsi="Arial" w:cs="Arial"/>
          <w:sz w:val="24"/>
          <w:szCs w:val="24"/>
          <w:lang w:val="en-ZA" w:eastAsia="en-ZA"/>
        </w:rPr>
        <w:t xml:space="preserve">taken </w:t>
      </w:r>
      <w:r w:rsidRPr="0091791D">
        <w:rPr>
          <w:rFonts w:ascii="Arial" w:eastAsia="Calibri" w:hAnsi="Arial" w:cs="Arial"/>
          <w:sz w:val="24"/>
          <w:szCs w:val="24"/>
          <w:lang w:val="en-ZA" w:eastAsia="en-ZA"/>
        </w:rPr>
        <w:t>against individuals emanated from 8 cases from 2018/19 and from 10 cases from 2019/20.</w:t>
      </w:r>
    </w:p>
    <w:p w:rsidR="00542F0B" w:rsidRDefault="00542F0B" w:rsidP="00A115E9">
      <w:pPr>
        <w:numPr>
          <w:ilvl w:val="0"/>
          <w:numId w:val="6"/>
        </w:numPr>
        <w:rPr>
          <w:rFonts w:ascii="Arial" w:eastAsia="Calibri" w:hAnsi="Arial" w:cs="Arial"/>
          <w:sz w:val="24"/>
          <w:szCs w:val="24"/>
          <w:lang w:val="en-ZA" w:eastAsia="en-ZA"/>
        </w:rPr>
      </w:pPr>
      <w:r w:rsidRPr="0091791D">
        <w:rPr>
          <w:rFonts w:ascii="Arial" w:eastAsia="Calibri" w:hAnsi="Arial" w:cs="Arial"/>
          <w:sz w:val="24"/>
          <w:szCs w:val="24"/>
          <w:lang w:val="en-ZA" w:eastAsia="en-ZA"/>
        </w:rPr>
        <w:t xml:space="preserve">This is </w:t>
      </w:r>
      <w:r>
        <w:rPr>
          <w:rFonts w:ascii="Arial" w:eastAsia="Calibri" w:hAnsi="Arial" w:cs="Arial"/>
          <w:sz w:val="24"/>
          <w:szCs w:val="24"/>
          <w:lang w:val="en-ZA" w:eastAsia="en-ZA"/>
        </w:rPr>
        <w:t xml:space="preserve">due to the fact that </w:t>
      </w:r>
      <w:r w:rsidRPr="0091791D">
        <w:rPr>
          <w:rFonts w:ascii="Arial" w:eastAsia="Calibri" w:hAnsi="Arial" w:cs="Arial"/>
          <w:sz w:val="24"/>
          <w:szCs w:val="24"/>
          <w:lang w:val="en-ZA" w:eastAsia="en-ZA"/>
        </w:rPr>
        <w:t>the recommendations from the investigations were made only in respect of the systems of internal control</w:t>
      </w:r>
      <w:r>
        <w:rPr>
          <w:rFonts w:ascii="Arial" w:eastAsia="Calibri" w:hAnsi="Arial" w:cs="Arial"/>
          <w:sz w:val="24"/>
          <w:szCs w:val="24"/>
          <w:lang w:val="en-ZA" w:eastAsia="en-ZA"/>
        </w:rPr>
        <w:t xml:space="preserve">. </w:t>
      </w:r>
    </w:p>
    <w:p w:rsidR="00542F0B" w:rsidRPr="0091791D" w:rsidRDefault="00542F0B" w:rsidP="00A115E9">
      <w:pPr>
        <w:numPr>
          <w:ilvl w:val="0"/>
          <w:numId w:val="6"/>
        </w:numPr>
        <w:rPr>
          <w:rFonts w:ascii="Arial" w:eastAsia="Calibri" w:hAnsi="Arial" w:cs="Arial"/>
          <w:sz w:val="24"/>
          <w:szCs w:val="24"/>
          <w:lang w:val="en-ZA" w:eastAsia="en-ZA"/>
        </w:rPr>
      </w:pPr>
      <w:r>
        <w:rPr>
          <w:rFonts w:ascii="Arial" w:eastAsia="Calibri" w:hAnsi="Arial" w:cs="Arial"/>
          <w:sz w:val="24"/>
          <w:szCs w:val="24"/>
          <w:lang w:val="en-ZA" w:eastAsia="en-ZA"/>
        </w:rPr>
        <w:t>M</w:t>
      </w:r>
      <w:r w:rsidRPr="0091791D">
        <w:rPr>
          <w:rFonts w:ascii="Arial" w:eastAsia="Calibri" w:hAnsi="Arial" w:cs="Arial"/>
          <w:sz w:val="24"/>
          <w:szCs w:val="24"/>
          <w:lang w:val="en-ZA" w:eastAsia="en-ZA"/>
        </w:rPr>
        <w:t xml:space="preserve">anagement decided not </w:t>
      </w:r>
      <w:r>
        <w:rPr>
          <w:rFonts w:ascii="Arial" w:eastAsia="Calibri" w:hAnsi="Arial" w:cs="Arial"/>
          <w:sz w:val="24"/>
          <w:szCs w:val="24"/>
          <w:lang w:val="en-ZA" w:eastAsia="en-ZA"/>
        </w:rPr>
        <w:t xml:space="preserve">to </w:t>
      </w:r>
      <w:r w:rsidRPr="0091791D">
        <w:rPr>
          <w:rFonts w:ascii="Arial" w:eastAsia="Calibri" w:hAnsi="Arial" w:cs="Arial"/>
          <w:sz w:val="24"/>
          <w:szCs w:val="24"/>
          <w:lang w:val="en-ZA" w:eastAsia="en-ZA"/>
        </w:rPr>
        <w:t>pursue the recommended actions from the Forensic Audit report due to a difference in interpretation of the root cause of the internal control failure.</w:t>
      </w:r>
    </w:p>
    <w:p w:rsidR="00542F0B" w:rsidRDefault="00542F0B" w:rsidP="00A115E9">
      <w:pPr>
        <w:rPr>
          <w:sz w:val="24"/>
          <w:szCs w:val="24"/>
          <w:lang w:eastAsia="en-ZA"/>
        </w:rPr>
      </w:pPr>
    </w:p>
    <w:p w:rsidR="00542F0B" w:rsidRPr="00995251" w:rsidRDefault="00542F0B" w:rsidP="00A115E9">
      <w:pPr>
        <w:rPr>
          <w:sz w:val="24"/>
          <w:szCs w:val="24"/>
          <w:lang w:eastAsia="en-ZA"/>
        </w:rPr>
      </w:pPr>
    </w:p>
    <w:p w:rsidR="00AF0F63" w:rsidRDefault="00AF0F63" w:rsidP="00241707">
      <w:pPr>
        <w:ind w:left="720" w:hanging="720"/>
        <w:rPr>
          <w:rFonts w:ascii="Arial" w:eastAsia="Calibri" w:hAnsi="Arial" w:cs="Arial"/>
          <w:b/>
          <w:sz w:val="24"/>
          <w:szCs w:val="24"/>
          <w:lang w:val="de-DE"/>
        </w:rPr>
      </w:pPr>
    </w:p>
    <w:p w:rsidR="00AF0F63" w:rsidRDefault="00AF0F63" w:rsidP="00241707">
      <w:pPr>
        <w:ind w:left="720" w:hanging="720"/>
        <w:rPr>
          <w:rFonts w:ascii="Arial" w:eastAsia="Calibri" w:hAnsi="Arial" w:cs="Arial"/>
          <w:b/>
          <w:sz w:val="24"/>
          <w:szCs w:val="24"/>
          <w:lang w:val="de-DE"/>
        </w:rPr>
      </w:pPr>
    </w:p>
    <w:p w:rsidR="00995251" w:rsidRPr="00995251" w:rsidRDefault="00995251" w:rsidP="00241707">
      <w:pPr>
        <w:ind w:left="720" w:hanging="720"/>
        <w:rPr>
          <w:rFonts w:ascii="Arial" w:eastAsia="Calibri" w:hAnsi="Arial" w:cs="Arial"/>
          <w:b/>
          <w:sz w:val="24"/>
          <w:szCs w:val="24"/>
          <w:lang w:val="de-DE"/>
        </w:rPr>
      </w:pPr>
      <w:r w:rsidRPr="00995251">
        <w:rPr>
          <w:rFonts w:ascii="Arial" w:eastAsia="Calibri" w:hAnsi="Arial" w:cs="Arial"/>
          <w:b/>
          <w:sz w:val="24"/>
          <w:szCs w:val="24"/>
          <w:lang w:val="de-DE"/>
        </w:rPr>
        <w:tab/>
      </w:r>
    </w:p>
    <w:p w:rsidR="00995251" w:rsidRPr="00995251" w:rsidRDefault="00995251" w:rsidP="00241707">
      <w:pPr>
        <w:pBdr>
          <w:top w:val="nil"/>
          <w:left w:val="nil"/>
          <w:bottom w:val="nil"/>
          <w:right w:val="nil"/>
          <w:between w:val="nil"/>
        </w:pBdr>
        <w:rPr>
          <w:rFonts w:ascii="Arial" w:eastAsia="Calibri" w:hAnsi="Arial" w:cs="Arial"/>
          <w:b/>
          <w:sz w:val="24"/>
          <w:szCs w:val="24"/>
          <w:lang w:val="de-DE"/>
        </w:rPr>
      </w:pPr>
      <w:r w:rsidRPr="00995251">
        <w:rPr>
          <w:rFonts w:ascii="Arial" w:eastAsia="Calibri" w:hAnsi="Arial" w:cs="Arial"/>
          <w:b/>
          <w:sz w:val="24"/>
          <w:szCs w:val="24"/>
          <w:lang w:val="de-DE"/>
        </w:rPr>
        <w:t xml:space="preserve">MS. STELLA NDABENI-ABRAHAMS, MP </w:t>
      </w:r>
    </w:p>
    <w:p w:rsidR="00995251" w:rsidRPr="00995251" w:rsidRDefault="00995251" w:rsidP="00241707">
      <w:pPr>
        <w:pBdr>
          <w:top w:val="nil"/>
          <w:left w:val="nil"/>
          <w:bottom w:val="nil"/>
          <w:right w:val="nil"/>
          <w:between w:val="nil"/>
        </w:pBdr>
        <w:rPr>
          <w:rFonts w:ascii="Arial" w:eastAsia="Calibri" w:hAnsi="Arial" w:cs="Arial"/>
          <w:b/>
          <w:sz w:val="24"/>
          <w:szCs w:val="24"/>
          <w:lang w:val="de-DE"/>
        </w:rPr>
      </w:pPr>
      <w:r w:rsidRPr="00995251">
        <w:rPr>
          <w:rFonts w:ascii="Arial" w:eastAsia="Calibri" w:hAnsi="Arial" w:cs="Arial"/>
          <w:b/>
          <w:sz w:val="24"/>
          <w:szCs w:val="24"/>
          <w:lang w:val="de-DE"/>
        </w:rPr>
        <w:t>MINISTER OF COMMUNICATIONS AND DIGITAL TECHNOLOGIES</w:t>
      </w:r>
    </w:p>
    <w:sectPr w:rsidR="00995251" w:rsidRPr="00995251" w:rsidSect="000A0DB6">
      <w:headerReference w:type="even" r:id="rId8"/>
      <w:headerReference w:type="default" r:id="rId9"/>
      <w:footerReference w:type="default" r:id="rId10"/>
      <w:footerReference w:type="first" r:id="rId11"/>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278" w:rsidRDefault="000B2278">
      <w:r>
        <w:separator/>
      </w:r>
    </w:p>
  </w:endnote>
  <w:endnote w:type="continuationSeparator" w:id="1">
    <w:p w:rsidR="000B2278" w:rsidRDefault="000B2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51" w:rsidRPr="00542F0B" w:rsidRDefault="00995251" w:rsidP="00995251">
    <w:pPr>
      <w:pStyle w:val="Footer"/>
      <w:rPr>
        <w:rFonts w:ascii="Arial" w:hAnsi="Arial" w:cs="Arial"/>
        <w:lang w:val="en-ZA"/>
      </w:rPr>
    </w:pPr>
    <w:r w:rsidRPr="00542F0B">
      <w:rPr>
        <w:rFonts w:ascii="Arial" w:hAnsi="Arial" w:cs="Arial"/>
        <w:lang w:val="en-ZA"/>
      </w:rPr>
      <w:t>P</w:t>
    </w:r>
    <w:r w:rsidR="00542F0B" w:rsidRPr="00542F0B">
      <w:rPr>
        <w:rFonts w:ascii="Arial" w:hAnsi="Arial" w:cs="Arial"/>
        <w:lang w:val="en-ZA"/>
      </w:rPr>
      <w:t>Q 1791</w:t>
    </w:r>
    <w:r w:rsidRPr="00542F0B">
      <w:rPr>
        <w:rFonts w:ascii="Arial" w:hAnsi="Arial" w:cs="Arial"/>
        <w:lang w:val="en-ZA"/>
      </w:rPr>
      <w:t xml:space="preserve">: </w:t>
    </w:r>
    <w:r w:rsidR="00542F0B" w:rsidRPr="00542F0B">
      <w:rPr>
        <w:rFonts w:ascii="Arial" w:hAnsi="Arial" w:cs="Arial"/>
        <w:bCs/>
        <w:lang w:val="en-ZA"/>
      </w:rPr>
      <w:t>Ms P T van Damme (DA) to ask the Minister of Communications</w:t>
    </w:r>
  </w:p>
  <w:p w:rsidR="00995251" w:rsidRDefault="009952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E9" w:rsidRPr="00542F0B" w:rsidRDefault="00A115E9" w:rsidP="00A115E9">
    <w:pPr>
      <w:pStyle w:val="Footer"/>
      <w:rPr>
        <w:rFonts w:ascii="Arial" w:hAnsi="Arial" w:cs="Arial"/>
        <w:lang w:val="en-ZA"/>
      </w:rPr>
    </w:pPr>
    <w:r w:rsidRPr="00542F0B">
      <w:rPr>
        <w:rFonts w:ascii="Arial" w:hAnsi="Arial" w:cs="Arial"/>
        <w:lang w:val="en-ZA"/>
      </w:rPr>
      <w:t xml:space="preserve">PQ 1791: </w:t>
    </w:r>
    <w:r w:rsidRPr="00542F0B">
      <w:rPr>
        <w:rFonts w:ascii="Arial" w:hAnsi="Arial" w:cs="Arial"/>
        <w:bCs/>
        <w:lang w:val="en-ZA"/>
      </w:rPr>
      <w:t>Ms P T van Damme (DA) to ask the Minister of Communications</w:t>
    </w:r>
  </w:p>
  <w:p w:rsidR="00995251" w:rsidRPr="00A115E9" w:rsidRDefault="00995251" w:rsidP="00A115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278" w:rsidRDefault="000B2278">
      <w:r>
        <w:separator/>
      </w:r>
    </w:p>
  </w:footnote>
  <w:footnote w:type="continuationSeparator" w:id="1">
    <w:p w:rsidR="000B2278" w:rsidRDefault="000B2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4D6A"/>
    <w:multiLevelType w:val="hybridMultilevel"/>
    <w:tmpl w:val="4450365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9E2DE6"/>
    <w:multiLevelType w:val="hybridMultilevel"/>
    <w:tmpl w:val="F97C9134"/>
    <w:lvl w:ilvl="0" w:tplc="BB2037A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9638A1"/>
    <w:multiLevelType w:val="hybridMultilevel"/>
    <w:tmpl w:val="47420A7C"/>
    <w:lvl w:ilvl="0" w:tplc="AB660DA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1DAF0C17"/>
    <w:multiLevelType w:val="hybridMultilevel"/>
    <w:tmpl w:val="181C2D60"/>
    <w:lvl w:ilvl="0" w:tplc="1E2A9746">
      <w:start w:val="1"/>
      <w:numFmt w:val="lowerLetter"/>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6FD16F9"/>
    <w:multiLevelType w:val="hybridMultilevel"/>
    <w:tmpl w:val="FA24E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F075970"/>
    <w:multiLevelType w:val="hybridMultilevel"/>
    <w:tmpl w:val="B288A27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FEF492D"/>
    <w:multiLevelType w:val="hybridMultilevel"/>
    <w:tmpl w:val="97E22826"/>
    <w:lvl w:ilvl="0" w:tplc="0A9EC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1"/>
  </w:num>
  <w:num w:numId="6">
    <w:abstractNumId w:val="0"/>
  </w:num>
  <w:num w:numId="7">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442E9"/>
    <w:rsid w:val="00045960"/>
    <w:rsid w:val="000464EA"/>
    <w:rsid w:val="00052A2F"/>
    <w:rsid w:val="00053577"/>
    <w:rsid w:val="00055870"/>
    <w:rsid w:val="00061B0B"/>
    <w:rsid w:val="00065548"/>
    <w:rsid w:val="00083307"/>
    <w:rsid w:val="000874FB"/>
    <w:rsid w:val="000940BB"/>
    <w:rsid w:val="000974E2"/>
    <w:rsid w:val="000A0DB6"/>
    <w:rsid w:val="000A5830"/>
    <w:rsid w:val="000A74E4"/>
    <w:rsid w:val="000B2278"/>
    <w:rsid w:val="000B355D"/>
    <w:rsid w:val="000C2BD8"/>
    <w:rsid w:val="000C7E3D"/>
    <w:rsid w:val="000D0684"/>
    <w:rsid w:val="000D2DC7"/>
    <w:rsid w:val="000D3FB5"/>
    <w:rsid w:val="000D4062"/>
    <w:rsid w:val="000D55B6"/>
    <w:rsid w:val="000D788E"/>
    <w:rsid w:val="000E0154"/>
    <w:rsid w:val="000E0870"/>
    <w:rsid w:val="000E4A33"/>
    <w:rsid w:val="000E695A"/>
    <w:rsid w:val="000E7470"/>
    <w:rsid w:val="000F3AC8"/>
    <w:rsid w:val="0010096B"/>
    <w:rsid w:val="00111DCD"/>
    <w:rsid w:val="001159B9"/>
    <w:rsid w:val="00120BC0"/>
    <w:rsid w:val="001245F8"/>
    <w:rsid w:val="00125A35"/>
    <w:rsid w:val="00126108"/>
    <w:rsid w:val="00134B64"/>
    <w:rsid w:val="0014239F"/>
    <w:rsid w:val="00145EDE"/>
    <w:rsid w:val="0016083A"/>
    <w:rsid w:val="001647BE"/>
    <w:rsid w:val="00164DD1"/>
    <w:rsid w:val="00166BE0"/>
    <w:rsid w:val="00167266"/>
    <w:rsid w:val="00181B9A"/>
    <w:rsid w:val="00182A95"/>
    <w:rsid w:val="00183989"/>
    <w:rsid w:val="00183CEC"/>
    <w:rsid w:val="00184A55"/>
    <w:rsid w:val="00187E97"/>
    <w:rsid w:val="00196B51"/>
    <w:rsid w:val="001A65F7"/>
    <w:rsid w:val="001B0645"/>
    <w:rsid w:val="001B427A"/>
    <w:rsid w:val="001B6272"/>
    <w:rsid w:val="001C0B3A"/>
    <w:rsid w:val="001C1AEF"/>
    <w:rsid w:val="001C722C"/>
    <w:rsid w:val="001C7AD4"/>
    <w:rsid w:val="001D5342"/>
    <w:rsid w:val="001D7389"/>
    <w:rsid w:val="001E4964"/>
    <w:rsid w:val="001F3E80"/>
    <w:rsid w:val="00202885"/>
    <w:rsid w:val="002055F9"/>
    <w:rsid w:val="0020747B"/>
    <w:rsid w:val="00207C1A"/>
    <w:rsid w:val="00211547"/>
    <w:rsid w:val="00214E46"/>
    <w:rsid w:val="00221695"/>
    <w:rsid w:val="00237BF7"/>
    <w:rsid w:val="00241707"/>
    <w:rsid w:val="00245701"/>
    <w:rsid w:val="00254101"/>
    <w:rsid w:val="002565B8"/>
    <w:rsid w:val="00272F92"/>
    <w:rsid w:val="00276E53"/>
    <w:rsid w:val="00280060"/>
    <w:rsid w:val="00282105"/>
    <w:rsid w:val="0028482E"/>
    <w:rsid w:val="00290683"/>
    <w:rsid w:val="00292C2C"/>
    <w:rsid w:val="002967B4"/>
    <w:rsid w:val="002A2954"/>
    <w:rsid w:val="002A337C"/>
    <w:rsid w:val="002A4115"/>
    <w:rsid w:val="002A5C5E"/>
    <w:rsid w:val="002A6B1B"/>
    <w:rsid w:val="002B576C"/>
    <w:rsid w:val="002B79FA"/>
    <w:rsid w:val="002D5E8C"/>
    <w:rsid w:val="002D6692"/>
    <w:rsid w:val="002E21F0"/>
    <w:rsid w:val="002E4315"/>
    <w:rsid w:val="002F0052"/>
    <w:rsid w:val="002F2348"/>
    <w:rsid w:val="002F6BB2"/>
    <w:rsid w:val="003002D0"/>
    <w:rsid w:val="00302B27"/>
    <w:rsid w:val="00306257"/>
    <w:rsid w:val="00307E5C"/>
    <w:rsid w:val="00316BC8"/>
    <w:rsid w:val="0032060C"/>
    <w:rsid w:val="00322095"/>
    <w:rsid w:val="0032278F"/>
    <w:rsid w:val="00331394"/>
    <w:rsid w:val="00335D31"/>
    <w:rsid w:val="00340B8C"/>
    <w:rsid w:val="00342236"/>
    <w:rsid w:val="00352C0F"/>
    <w:rsid w:val="0036215C"/>
    <w:rsid w:val="003663B4"/>
    <w:rsid w:val="003674FA"/>
    <w:rsid w:val="0037240E"/>
    <w:rsid w:val="003730D8"/>
    <w:rsid w:val="00374F10"/>
    <w:rsid w:val="003817B6"/>
    <w:rsid w:val="00383B4A"/>
    <w:rsid w:val="00391C7A"/>
    <w:rsid w:val="003A55B1"/>
    <w:rsid w:val="003A77F7"/>
    <w:rsid w:val="003A7A96"/>
    <w:rsid w:val="003B254A"/>
    <w:rsid w:val="003C3A4F"/>
    <w:rsid w:val="003C42A9"/>
    <w:rsid w:val="003C69B9"/>
    <w:rsid w:val="003D4ADE"/>
    <w:rsid w:val="003D6944"/>
    <w:rsid w:val="003E0412"/>
    <w:rsid w:val="003E16BF"/>
    <w:rsid w:val="00402865"/>
    <w:rsid w:val="004033BF"/>
    <w:rsid w:val="00405C17"/>
    <w:rsid w:val="004063D9"/>
    <w:rsid w:val="0041438D"/>
    <w:rsid w:val="004143ED"/>
    <w:rsid w:val="00423429"/>
    <w:rsid w:val="00437B82"/>
    <w:rsid w:val="00443CC8"/>
    <w:rsid w:val="0044679A"/>
    <w:rsid w:val="0045305C"/>
    <w:rsid w:val="00453B28"/>
    <w:rsid w:val="0046469E"/>
    <w:rsid w:val="00467EA6"/>
    <w:rsid w:val="004715FB"/>
    <w:rsid w:val="00472430"/>
    <w:rsid w:val="00480C3E"/>
    <w:rsid w:val="0048567C"/>
    <w:rsid w:val="004941B0"/>
    <w:rsid w:val="004964B9"/>
    <w:rsid w:val="00497E51"/>
    <w:rsid w:val="004A737B"/>
    <w:rsid w:val="004B1BEF"/>
    <w:rsid w:val="004C0606"/>
    <w:rsid w:val="004C58F4"/>
    <w:rsid w:val="004E3FF2"/>
    <w:rsid w:val="004E65E3"/>
    <w:rsid w:val="00500640"/>
    <w:rsid w:val="0051065A"/>
    <w:rsid w:val="00520940"/>
    <w:rsid w:val="00533571"/>
    <w:rsid w:val="00540F2C"/>
    <w:rsid w:val="00542BB1"/>
    <w:rsid w:val="00542F0B"/>
    <w:rsid w:val="00547EE0"/>
    <w:rsid w:val="00556B36"/>
    <w:rsid w:val="005613B5"/>
    <w:rsid w:val="00565B99"/>
    <w:rsid w:val="00565D1A"/>
    <w:rsid w:val="00567584"/>
    <w:rsid w:val="00567C28"/>
    <w:rsid w:val="00580E98"/>
    <w:rsid w:val="0058258E"/>
    <w:rsid w:val="005853AF"/>
    <w:rsid w:val="00585B41"/>
    <w:rsid w:val="0058745C"/>
    <w:rsid w:val="00594AD1"/>
    <w:rsid w:val="005A3B8A"/>
    <w:rsid w:val="005A5F82"/>
    <w:rsid w:val="005B0466"/>
    <w:rsid w:val="005B084C"/>
    <w:rsid w:val="005B17D5"/>
    <w:rsid w:val="005B3D4D"/>
    <w:rsid w:val="005B5B32"/>
    <w:rsid w:val="005B5E37"/>
    <w:rsid w:val="005C1C5C"/>
    <w:rsid w:val="005E38EA"/>
    <w:rsid w:val="005E4B32"/>
    <w:rsid w:val="005F1B60"/>
    <w:rsid w:val="005F2DB0"/>
    <w:rsid w:val="005F53FF"/>
    <w:rsid w:val="005F5B4B"/>
    <w:rsid w:val="005F63C2"/>
    <w:rsid w:val="005F7C6E"/>
    <w:rsid w:val="00600E71"/>
    <w:rsid w:val="00602E28"/>
    <w:rsid w:val="00602E3F"/>
    <w:rsid w:val="00605443"/>
    <w:rsid w:val="0061081D"/>
    <w:rsid w:val="006110EA"/>
    <w:rsid w:val="00611EBD"/>
    <w:rsid w:val="00617091"/>
    <w:rsid w:val="0062270E"/>
    <w:rsid w:val="00637E4F"/>
    <w:rsid w:val="00644D08"/>
    <w:rsid w:val="00645988"/>
    <w:rsid w:val="00650667"/>
    <w:rsid w:val="00656E98"/>
    <w:rsid w:val="00662F7C"/>
    <w:rsid w:val="0066619F"/>
    <w:rsid w:val="00667DA9"/>
    <w:rsid w:val="0067179D"/>
    <w:rsid w:val="006830A0"/>
    <w:rsid w:val="00695478"/>
    <w:rsid w:val="006A0B01"/>
    <w:rsid w:val="006A18A2"/>
    <w:rsid w:val="006A4958"/>
    <w:rsid w:val="006A4D0B"/>
    <w:rsid w:val="006B02A5"/>
    <w:rsid w:val="006B383B"/>
    <w:rsid w:val="006C090A"/>
    <w:rsid w:val="006C25E7"/>
    <w:rsid w:val="006C595F"/>
    <w:rsid w:val="006D28DB"/>
    <w:rsid w:val="006D6C78"/>
    <w:rsid w:val="006D6DC1"/>
    <w:rsid w:val="006E7144"/>
    <w:rsid w:val="006F243A"/>
    <w:rsid w:val="006F65F8"/>
    <w:rsid w:val="00701519"/>
    <w:rsid w:val="00711BB2"/>
    <w:rsid w:val="00714768"/>
    <w:rsid w:val="0071742C"/>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D53"/>
    <w:rsid w:val="007B0C45"/>
    <w:rsid w:val="007B3CA2"/>
    <w:rsid w:val="007B46C2"/>
    <w:rsid w:val="007C5C0F"/>
    <w:rsid w:val="007C681A"/>
    <w:rsid w:val="007C69E4"/>
    <w:rsid w:val="007C6FA1"/>
    <w:rsid w:val="007D6EA5"/>
    <w:rsid w:val="007E403C"/>
    <w:rsid w:val="007E64A8"/>
    <w:rsid w:val="00801B08"/>
    <w:rsid w:val="00811AC1"/>
    <w:rsid w:val="008130F3"/>
    <w:rsid w:val="00822FA5"/>
    <w:rsid w:val="0083450B"/>
    <w:rsid w:val="00836E2C"/>
    <w:rsid w:val="008467E6"/>
    <w:rsid w:val="00846861"/>
    <w:rsid w:val="0085168E"/>
    <w:rsid w:val="0086345E"/>
    <w:rsid w:val="008676A9"/>
    <w:rsid w:val="00872159"/>
    <w:rsid w:val="0087270B"/>
    <w:rsid w:val="0087359F"/>
    <w:rsid w:val="00873642"/>
    <w:rsid w:val="0088080E"/>
    <w:rsid w:val="00884000"/>
    <w:rsid w:val="008844AE"/>
    <w:rsid w:val="008865A2"/>
    <w:rsid w:val="00890FFB"/>
    <w:rsid w:val="008914BC"/>
    <w:rsid w:val="0089361A"/>
    <w:rsid w:val="00894377"/>
    <w:rsid w:val="008944D6"/>
    <w:rsid w:val="008A3878"/>
    <w:rsid w:val="008B6F97"/>
    <w:rsid w:val="008D117F"/>
    <w:rsid w:val="008D614A"/>
    <w:rsid w:val="008E0CCD"/>
    <w:rsid w:val="008E2DD0"/>
    <w:rsid w:val="008E5265"/>
    <w:rsid w:val="008F0948"/>
    <w:rsid w:val="008F20DE"/>
    <w:rsid w:val="008F38FB"/>
    <w:rsid w:val="008F6051"/>
    <w:rsid w:val="00905B36"/>
    <w:rsid w:val="00906D03"/>
    <w:rsid w:val="00907F64"/>
    <w:rsid w:val="00910F1E"/>
    <w:rsid w:val="00914D8F"/>
    <w:rsid w:val="00915D11"/>
    <w:rsid w:val="009175C1"/>
    <w:rsid w:val="00930938"/>
    <w:rsid w:val="009313C9"/>
    <w:rsid w:val="009317AD"/>
    <w:rsid w:val="0093790C"/>
    <w:rsid w:val="0094143D"/>
    <w:rsid w:val="00945395"/>
    <w:rsid w:val="00946D78"/>
    <w:rsid w:val="00957CAA"/>
    <w:rsid w:val="0096048C"/>
    <w:rsid w:val="00973CE2"/>
    <w:rsid w:val="0097435C"/>
    <w:rsid w:val="009751C0"/>
    <w:rsid w:val="009752B6"/>
    <w:rsid w:val="00975379"/>
    <w:rsid w:val="00991862"/>
    <w:rsid w:val="00995251"/>
    <w:rsid w:val="009A3C54"/>
    <w:rsid w:val="009B7B70"/>
    <w:rsid w:val="009C265C"/>
    <w:rsid w:val="009C407D"/>
    <w:rsid w:val="009C5A3F"/>
    <w:rsid w:val="009D379F"/>
    <w:rsid w:val="009D5279"/>
    <w:rsid w:val="009D673A"/>
    <w:rsid w:val="009E0E61"/>
    <w:rsid w:val="009E736C"/>
    <w:rsid w:val="009F236A"/>
    <w:rsid w:val="009F7692"/>
    <w:rsid w:val="00A03C58"/>
    <w:rsid w:val="00A115E9"/>
    <w:rsid w:val="00A12E51"/>
    <w:rsid w:val="00A20479"/>
    <w:rsid w:val="00A23D3D"/>
    <w:rsid w:val="00A25727"/>
    <w:rsid w:val="00A35472"/>
    <w:rsid w:val="00A3686A"/>
    <w:rsid w:val="00A40C84"/>
    <w:rsid w:val="00A42190"/>
    <w:rsid w:val="00A438B1"/>
    <w:rsid w:val="00A44383"/>
    <w:rsid w:val="00A46BE9"/>
    <w:rsid w:val="00A47652"/>
    <w:rsid w:val="00A57135"/>
    <w:rsid w:val="00A6067D"/>
    <w:rsid w:val="00A61316"/>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AF0F63"/>
    <w:rsid w:val="00B01CBD"/>
    <w:rsid w:val="00B06AA8"/>
    <w:rsid w:val="00B10FFB"/>
    <w:rsid w:val="00B11A66"/>
    <w:rsid w:val="00B11E1A"/>
    <w:rsid w:val="00B1392D"/>
    <w:rsid w:val="00B157ED"/>
    <w:rsid w:val="00B158FB"/>
    <w:rsid w:val="00B20279"/>
    <w:rsid w:val="00B46313"/>
    <w:rsid w:val="00B52FD5"/>
    <w:rsid w:val="00B56DA0"/>
    <w:rsid w:val="00B57016"/>
    <w:rsid w:val="00B602F1"/>
    <w:rsid w:val="00B637C5"/>
    <w:rsid w:val="00B63EA0"/>
    <w:rsid w:val="00B67250"/>
    <w:rsid w:val="00B74C57"/>
    <w:rsid w:val="00B75528"/>
    <w:rsid w:val="00B8725E"/>
    <w:rsid w:val="00BA452E"/>
    <w:rsid w:val="00BA5DAE"/>
    <w:rsid w:val="00BC416D"/>
    <w:rsid w:val="00BC56F0"/>
    <w:rsid w:val="00BD3607"/>
    <w:rsid w:val="00BE00C0"/>
    <w:rsid w:val="00BE2FC2"/>
    <w:rsid w:val="00BE41AF"/>
    <w:rsid w:val="00BE7E1A"/>
    <w:rsid w:val="00BF4D4E"/>
    <w:rsid w:val="00C03670"/>
    <w:rsid w:val="00C26DD8"/>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C3570"/>
    <w:rsid w:val="00CD4243"/>
    <w:rsid w:val="00CE729B"/>
    <w:rsid w:val="00CF04D0"/>
    <w:rsid w:val="00CF4F98"/>
    <w:rsid w:val="00D04676"/>
    <w:rsid w:val="00D05733"/>
    <w:rsid w:val="00D152F2"/>
    <w:rsid w:val="00D278B7"/>
    <w:rsid w:val="00D34632"/>
    <w:rsid w:val="00D3625E"/>
    <w:rsid w:val="00D3648A"/>
    <w:rsid w:val="00D4166B"/>
    <w:rsid w:val="00D4419F"/>
    <w:rsid w:val="00D47D19"/>
    <w:rsid w:val="00D56E2E"/>
    <w:rsid w:val="00D630BD"/>
    <w:rsid w:val="00D73E10"/>
    <w:rsid w:val="00D740EE"/>
    <w:rsid w:val="00D82FCA"/>
    <w:rsid w:val="00D86BF2"/>
    <w:rsid w:val="00D86E81"/>
    <w:rsid w:val="00D90BE5"/>
    <w:rsid w:val="00D97CD2"/>
    <w:rsid w:val="00DA0726"/>
    <w:rsid w:val="00DA6877"/>
    <w:rsid w:val="00DB1861"/>
    <w:rsid w:val="00DB2C07"/>
    <w:rsid w:val="00DC03DF"/>
    <w:rsid w:val="00DC1241"/>
    <w:rsid w:val="00DC15FE"/>
    <w:rsid w:val="00DD1BB1"/>
    <w:rsid w:val="00DD55B8"/>
    <w:rsid w:val="00DE2B17"/>
    <w:rsid w:val="00DF4C0D"/>
    <w:rsid w:val="00E01460"/>
    <w:rsid w:val="00E04080"/>
    <w:rsid w:val="00E04B51"/>
    <w:rsid w:val="00E05624"/>
    <w:rsid w:val="00E05E93"/>
    <w:rsid w:val="00E062C2"/>
    <w:rsid w:val="00E1224B"/>
    <w:rsid w:val="00E1479D"/>
    <w:rsid w:val="00E150A5"/>
    <w:rsid w:val="00E15539"/>
    <w:rsid w:val="00E24F63"/>
    <w:rsid w:val="00E30EC1"/>
    <w:rsid w:val="00E310D7"/>
    <w:rsid w:val="00E34441"/>
    <w:rsid w:val="00E409F8"/>
    <w:rsid w:val="00E431F6"/>
    <w:rsid w:val="00E52B55"/>
    <w:rsid w:val="00E545D7"/>
    <w:rsid w:val="00E631DC"/>
    <w:rsid w:val="00E7172E"/>
    <w:rsid w:val="00E81886"/>
    <w:rsid w:val="00E82B9F"/>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2093A"/>
    <w:rsid w:val="00F30EBC"/>
    <w:rsid w:val="00F31A64"/>
    <w:rsid w:val="00F35B85"/>
    <w:rsid w:val="00F36FBB"/>
    <w:rsid w:val="00F37A43"/>
    <w:rsid w:val="00F41D72"/>
    <w:rsid w:val="00F44355"/>
    <w:rsid w:val="00F45314"/>
    <w:rsid w:val="00F51459"/>
    <w:rsid w:val="00F55FAB"/>
    <w:rsid w:val="00F62A8B"/>
    <w:rsid w:val="00F7248C"/>
    <w:rsid w:val="00F73860"/>
    <w:rsid w:val="00F74559"/>
    <w:rsid w:val="00F86ACF"/>
    <w:rsid w:val="00F90890"/>
    <w:rsid w:val="00F924C2"/>
    <w:rsid w:val="00F92E02"/>
    <w:rsid w:val="00F939FE"/>
    <w:rsid w:val="00F9453D"/>
    <w:rsid w:val="00FB124B"/>
    <w:rsid w:val="00FB303F"/>
    <w:rsid w:val="00FC20F7"/>
    <w:rsid w:val="00FD3765"/>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11DCD"/>
    <w:pPr>
      <w:autoSpaceDE w:val="0"/>
      <w:autoSpaceDN w:val="0"/>
      <w:adjustRightInd w:val="0"/>
    </w:pPr>
    <w:rPr>
      <w:rFonts w:ascii="Arial" w:hAnsi="Arial" w:cs="Arial"/>
      <w:color w:val="000000"/>
      <w:sz w:val="24"/>
      <w:szCs w:val="24"/>
    </w:rPr>
  </w:style>
  <w:style w:type="paragraph" w:styleId="NormalWeb">
    <w:name w:val="Normal (Web)"/>
    <w:basedOn w:val="Normal"/>
    <w:rsid w:val="00542F0B"/>
    <w:rPr>
      <w:sz w:val="24"/>
      <w:szCs w:val="24"/>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995644434">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39037552">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2020-09-09T23:09:00Z</cp:lastPrinted>
  <dcterms:created xsi:type="dcterms:W3CDTF">2020-09-18T05:27:00Z</dcterms:created>
  <dcterms:modified xsi:type="dcterms:W3CDTF">2020-09-18T05:27:00Z</dcterms:modified>
</cp:coreProperties>
</file>