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Pr="007B131D" w:rsidRDefault="00BE13C3" w:rsidP="00BE13C3">
      <w:pPr>
        <w:ind w:left="540" w:hanging="540"/>
        <w:rPr>
          <w:rFonts w:cs="Arial"/>
        </w:rPr>
      </w:pPr>
    </w:p>
    <w:p w:rsidR="00346086" w:rsidRDefault="00346086" w:rsidP="00346086">
      <w:pPr>
        <w:ind w:left="540" w:hanging="540"/>
        <w:rPr>
          <w:rFonts w:cs="Arial"/>
          <w:b/>
        </w:rPr>
      </w:pPr>
    </w:p>
    <w:p w:rsidR="00346086" w:rsidRDefault="00346086" w:rsidP="00346086">
      <w:pPr>
        <w:ind w:left="540" w:hanging="540"/>
        <w:rPr>
          <w:rFonts w:cs="Arial"/>
          <w:b/>
        </w:rPr>
      </w:pPr>
    </w:p>
    <w:p w:rsidR="00346086" w:rsidRDefault="00346086" w:rsidP="00346086">
      <w:pPr>
        <w:ind w:left="540" w:hanging="540"/>
        <w:rPr>
          <w:rFonts w:cs="Arial"/>
          <w:b/>
        </w:rPr>
      </w:pPr>
    </w:p>
    <w:p w:rsidR="00346086" w:rsidRDefault="00346086" w:rsidP="00346086">
      <w:pPr>
        <w:spacing w:line="360" w:lineRule="auto"/>
        <w:ind w:left="540" w:hanging="540"/>
        <w:rPr>
          <w:rFonts w:cs="Arial"/>
          <w:b/>
          <w:sz w:val="24"/>
          <w:szCs w:val="24"/>
        </w:rPr>
      </w:pPr>
    </w:p>
    <w:p w:rsidR="00346086" w:rsidRDefault="009C19DB" w:rsidP="00346086">
      <w:pPr>
        <w:spacing w:line="360" w:lineRule="auto"/>
        <w:ind w:left="540" w:hanging="540"/>
        <w:jc w:val="center"/>
        <w:rPr>
          <w:rFonts w:cs="Arial"/>
          <w:b/>
          <w:sz w:val="24"/>
          <w:szCs w:val="24"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86" w:rsidRPr="006C0B49" w:rsidRDefault="00346086" w:rsidP="00346086">
      <w:pPr>
        <w:jc w:val="center"/>
        <w:rPr>
          <w:rFonts w:cs="Arial"/>
          <w:b/>
          <w:sz w:val="24"/>
          <w:szCs w:val="24"/>
        </w:rPr>
      </w:pPr>
      <w:r w:rsidRPr="006C0B49">
        <w:rPr>
          <w:rFonts w:cs="Arial"/>
          <w:b/>
          <w:sz w:val="24"/>
          <w:szCs w:val="24"/>
        </w:rPr>
        <w:t>JUSTICE AND CORRECTIONAL SERVICES</w:t>
      </w:r>
    </w:p>
    <w:p w:rsidR="00346086" w:rsidRPr="006C0B49" w:rsidRDefault="00346086" w:rsidP="00346086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6C0B49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346086" w:rsidRPr="006C0B49" w:rsidRDefault="00346086" w:rsidP="00346086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346086" w:rsidRPr="00346086" w:rsidRDefault="00346086" w:rsidP="00346086">
      <w:pPr>
        <w:spacing w:line="360" w:lineRule="auto"/>
        <w:rPr>
          <w:rFonts w:cs="Arial"/>
          <w:b/>
          <w:sz w:val="24"/>
          <w:szCs w:val="24"/>
        </w:rPr>
      </w:pPr>
      <w:r w:rsidRPr="00346086">
        <w:rPr>
          <w:rFonts w:cs="Arial"/>
          <w:b/>
          <w:sz w:val="24"/>
          <w:szCs w:val="24"/>
        </w:rPr>
        <w:t>NATIONAL ASSEMBLY</w:t>
      </w:r>
    </w:p>
    <w:p w:rsidR="00BE13C3" w:rsidRPr="00346086" w:rsidRDefault="00346086" w:rsidP="00346086">
      <w:pPr>
        <w:spacing w:line="360" w:lineRule="auto"/>
        <w:rPr>
          <w:rFonts w:cs="Arial"/>
          <w:b/>
          <w:sz w:val="24"/>
          <w:szCs w:val="24"/>
        </w:rPr>
      </w:pPr>
      <w:r w:rsidRPr="00346086">
        <w:rPr>
          <w:rFonts w:cs="Arial"/>
          <w:b/>
          <w:sz w:val="24"/>
          <w:szCs w:val="24"/>
        </w:rPr>
        <w:t xml:space="preserve">QUESTION </w:t>
      </w:r>
      <w:r w:rsidR="00BE13C3" w:rsidRPr="00346086">
        <w:rPr>
          <w:rFonts w:cs="Arial"/>
          <w:b/>
          <w:sz w:val="24"/>
          <w:szCs w:val="24"/>
        </w:rPr>
        <w:t>FOR WRITTEN REPLY</w:t>
      </w:r>
    </w:p>
    <w:p w:rsidR="00ED491A" w:rsidRPr="00346086" w:rsidRDefault="00346086" w:rsidP="00346086">
      <w:pPr>
        <w:spacing w:line="360" w:lineRule="auto"/>
        <w:rPr>
          <w:rFonts w:cs="Arial"/>
          <w:b/>
          <w:sz w:val="24"/>
          <w:szCs w:val="24"/>
        </w:rPr>
      </w:pPr>
      <w:r w:rsidRPr="00346086">
        <w:rPr>
          <w:rFonts w:cs="Arial"/>
          <w:b/>
          <w:sz w:val="24"/>
          <w:szCs w:val="24"/>
        </w:rPr>
        <w:t xml:space="preserve">PARLIAMENTARY </w:t>
      </w:r>
      <w:r w:rsidR="00ED491A" w:rsidRPr="00346086">
        <w:rPr>
          <w:rFonts w:cs="Arial"/>
          <w:b/>
          <w:sz w:val="24"/>
          <w:szCs w:val="24"/>
        </w:rPr>
        <w:t xml:space="preserve">QUESTION </w:t>
      </w:r>
      <w:r w:rsidR="004B6288" w:rsidRPr="00346086">
        <w:rPr>
          <w:rFonts w:cs="Arial"/>
          <w:b/>
          <w:sz w:val="24"/>
          <w:szCs w:val="24"/>
        </w:rPr>
        <w:t>1</w:t>
      </w:r>
      <w:r w:rsidR="00564EDC" w:rsidRPr="00346086">
        <w:rPr>
          <w:rFonts w:cs="Arial"/>
          <w:b/>
          <w:sz w:val="24"/>
          <w:szCs w:val="24"/>
        </w:rPr>
        <w:t>790</w:t>
      </w:r>
    </w:p>
    <w:p w:rsidR="00346086" w:rsidRPr="00346086" w:rsidRDefault="00346086" w:rsidP="00346086">
      <w:pPr>
        <w:spacing w:line="360" w:lineRule="auto"/>
        <w:rPr>
          <w:rFonts w:cs="Arial"/>
          <w:b/>
          <w:sz w:val="24"/>
          <w:szCs w:val="24"/>
        </w:rPr>
      </w:pPr>
      <w:r w:rsidRPr="00346086">
        <w:rPr>
          <w:rFonts w:cs="Arial"/>
          <w:b/>
          <w:sz w:val="24"/>
          <w:szCs w:val="24"/>
        </w:rPr>
        <w:t>DATE OF QUESTION: 12 MAY 2023</w:t>
      </w:r>
    </w:p>
    <w:p w:rsidR="00346086" w:rsidRPr="00346086" w:rsidRDefault="00346086" w:rsidP="00346086">
      <w:pPr>
        <w:spacing w:line="360" w:lineRule="auto"/>
        <w:rPr>
          <w:rFonts w:cs="Arial"/>
          <w:b/>
          <w:sz w:val="24"/>
          <w:szCs w:val="24"/>
        </w:rPr>
      </w:pPr>
      <w:r w:rsidRPr="00346086">
        <w:rPr>
          <w:rFonts w:cs="Arial"/>
          <w:b/>
          <w:sz w:val="24"/>
          <w:szCs w:val="24"/>
        </w:rPr>
        <w:t>DATE OF SUBMISSION: 26 MAY 2023</w:t>
      </w:r>
    </w:p>
    <w:p w:rsidR="00ED491A" w:rsidRPr="00346086" w:rsidRDefault="00ED491A" w:rsidP="00346086">
      <w:pPr>
        <w:spacing w:line="360" w:lineRule="auto"/>
        <w:rPr>
          <w:rFonts w:cs="Arial"/>
          <w:b/>
          <w:sz w:val="24"/>
          <w:szCs w:val="24"/>
        </w:rPr>
      </w:pPr>
    </w:p>
    <w:p w:rsidR="00564EDC" w:rsidRPr="007B131D" w:rsidRDefault="00EE47D0" w:rsidP="00564ED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 H.</w:t>
      </w:r>
      <w:r w:rsidR="00564EDC" w:rsidRPr="007B131D">
        <w:rPr>
          <w:rFonts w:cs="Arial"/>
          <w:b/>
          <w:sz w:val="24"/>
          <w:szCs w:val="24"/>
        </w:rPr>
        <w:t>A Shembeni (EFF) to ask the Minister of Justice and Correctional Services:</w:t>
      </w:r>
    </w:p>
    <w:p w:rsidR="00564EDC" w:rsidRPr="007B131D" w:rsidRDefault="00564EDC" w:rsidP="00564EDC">
      <w:pPr>
        <w:rPr>
          <w:rFonts w:cs="Arial"/>
          <w:b/>
          <w:sz w:val="24"/>
          <w:szCs w:val="24"/>
        </w:rPr>
      </w:pPr>
    </w:p>
    <w:p w:rsidR="00564EDC" w:rsidRPr="007B131D" w:rsidRDefault="00564EDC" w:rsidP="007B131D">
      <w:pPr>
        <w:rPr>
          <w:rFonts w:cs="Arial"/>
          <w:sz w:val="24"/>
          <w:szCs w:val="24"/>
        </w:rPr>
      </w:pPr>
      <w:r w:rsidRPr="007B131D">
        <w:rPr>
          <w:rFonts w:cs="Arial"/>
          <w:sz w:val="24"/>
          <w:szCs w:val="24"/>
        </w:rPr>
        <w:t xml:space="preserve">Which measures has he taken to tackle overcrowding in the KwaZulu-Natal correctional services facilities? </w:t>
      </w:r>
      <w:r w:rsidRPr="007B131D">
        <w:rPr>
          <w:rFonts w:cs="Arial"/>
          <w:sz w:val="24"/>
          <w:szCs w:val="24"/>
        </w:rPr>
        <w:tab/>
      </w:r>
      <w:r w:rsidRPr="007B131D">
        <w:rPr>
          <w:rFonts w:cs="Arial"/>
          <w:sz w:val="24"/>
          <w:szCs w:val="24"/>
        </w:rPr>
        <w:tab/>
      </w:r>
      <w:r w:rsidRPr="007B131D">
        <w:rPr>
          <w:rFonts w:cs="Arial"/>
          <w:sz w:val="24"/>
          <w:szCs w:val="24"/>
        </w:rPr>
        <w:tab/>
      </w:r>
      <w:r w:rsidRPr="007B131D">
        <w:rPr>
          <w:rFonts w:cs="Arial"/>
          <w:sz w:val="24"/>
          <w:szCs w:val="24"/>
        </w:rPr>
        <w:tab/>
      </w:r>
      <w:r w:rsidRPr="007B131D">
        <w:rPr>
          <w:rFonts w:cs="Arial"/>
          <w:sz w:val="24"/>
          <w:szCs w:val="24"/>
        </w:rPr>
        <w:tab/>
      </w:r>
      <w:r w:rsidRPr="007B131D">
        <w:rPr>
          <w:rFonts w:cs="Arial"/>
          <w:sz w:val="24"/>
          <w:szCs w:val="24"/>
        </w:rPr>
        <w:tab/>
      </w:r>
      <w:r w:rsidR="007B131D">
        <w:rPr>
          <w:rFonts w:cs="Arial"/>
          <w:b/>
          <w:sz w:val="24"/>
          <w:szCs w:val="24"/>
        </w:rPr>
        <w:tab/>
        <w:t>NW2055E</w:t>
      </w:r>
    </w:p>
    <w:p w:rsidR="00361BA4" w:rsidRPr="007B131D" w:rsidRDefault="00361BA4" w:rsidP="0031710C">
      <w:pPr>
        <w:rPr>
          <w:rFonts w:cs="Arial"/>
          <w:sz w:val="24"/>
          <w:szCs w:val="24"/>
        </w:rPr>
      </w:pPr>
    </w:p>
    <w:p w:rsidR="00564EDC" w:rsidRPr="007B131D" w:rsidRDefault="00564EDC" w:rsidP="0031710C">
      <w:pPr>
        <w:rPr>
          <w:rFonts w:cs="Arial"/>
          <w:sz w:val="24"/>
          <w:szCs w:val="24"/>
        </w:rPr>
      </w:pPr>
    </w:p>
    <w:p w:rsidR="0031710C" w:rsidRPr="007B131D" w:rsidRDefault="0031710C" w:rsidP="0031710C">
      <w:pPr>
        <w:rPr>
          <w:rFonts w:cs="Arial"/>
          <w:b/>
          <w:sz w:val="24"/>
          <w:szCs w:val="24"/>
        </w:rPr>
      </w:pPr>
      <w:r w:rsidRPr="007B131D">
        <w:rPr>
          <w:rFonts w:cs="Arial"/>
          <w:b/>
          <w:sz w:val="24"/>
          <w:szCs w:val="24"/>
        </w:rPr>
        <w:t>REPLY</w:t>
      </w:r>
    </w:p>
    <w:p w:rsidR="0031710C" w:rsidRPr="007B131D" w:rsidRDefault="0031710C" w:rsidP="00B15D2D">
      <w:pPr>
        <w:jc w:val="both"/>
        <w:rPr>
          <w:rFonts w:cs="Arial"/>
          <w:b/>
          <w:sz w:val="24"/>
          <w:szCs w:val="24"/>
        </w:rPr>
      </w:pPr>
    </w:p>
    <w:p w:rsidR="00EE47D0" w:rsidRDefault="00B15D2D" w:rsidP="00B15D2D">
      <w:pPr>
        <w:spacing w:line="360" w:lineRule="auto"/>
        <w:jc w:val="both"/>
        <w:rPr>
          <w:rFonts w:cs="Arial"/>
          <w:sz w:val="24"/>
          <w:szCs w:val="24"/>
        </w:rPr>
      </w:pPr>
      <w:r w:rsidRPr="007B131D">
        <w:rPr>
          <w:rFonts w:cs="Arial"/>
          <w:sz w:val="24"/>
          <w:szCs w:val="24"/>
        </w:rPr>
        <w:t xml:space="preserve">For the financial year </w:t>
      </w:r>
      <w:r w:rsidR="00EE47D0">
        <w:rPr>
          <w:rFonts w:cs="Arial"/>
          <w:sz w:val="24"/>
          <w:szCs w:val="24"/>
        </w:rPr>
        <w:t>2022/</w:t>
      </w:r>
      <w:r w:rsidRPr="007B131D">
        <w:rPr>
          <w:rFonts w:cs="Arial"/>
          <w:sz w:val="24"/>
          <w:szCs w:val="24"/>
        </w:rPr>
        <w:t xml:space="preserve">23 the inmate population in KZN Region increased from </w:t>
      </w:r>
      <w:r w:rsidR="00EE47D0">
        <w:rPr>
          <w:rFonts w:cs="Arial"/>
          <w:sz w:val="24"/>
          <w:szCs w:val="24"/>
        </w:rPr>
        <w:br/>
      </w:r>
      <w:r w:rsidRPr="007B131D">
        <w:rPr>
          <w:rFonts w:cs="Arial"/>
          <w:sz w:val="24"/>
          <w:szCs w:val="24"/>
        </w:rPr>
        <w:t xml:space="preserve">22 024 to 24 256, reflecting an increase of 2 232 inmates. </w:t>
      </w:r>
      <w:r w:rsidR="00EE47D0">
        <w:rPr>
          <w:rFonts w:cs="Arial"/>
          <w:sz w:val="24"/>
          <w:szCs w:val="24"/>
        </w:rPr>
        <w:t xml:space="preserve">  </w:t>
      </w:r>
    </w:p>
    <w:p w:rsidR="00874B1A" w:rsidRPr="007B131D" w:rsidRDefault="00B15D2D" w:rsidP="00B15D2D">
      <w:pPr>
        <w:spacing w:line="360" w:lineRule="auto"/>
        <w:jc w:val="both"/>
        <w:rPr>
          <w:rFonts w:cs="Arial"/>
          <w:sz w:val="24"/>
          <w:szCs w:val="24"/>
        </w:rPr>
      </w:pPr>
      <w:r w:rsidRPr="007B131D">
        <w:rPr>
          <w:rFonts w:cs="Arial"/>
          <w:sz w:val="24"/>
          <w:szCs w:val="24"/>
        </w:rPr>
        <w:t xml:space="preserve">The </w:t>
      </w:r>
      <w:r w:rsidR="00876898">
        <w:rPr>
          <w:rFonts w:cs="Arial"/>
          <w:sz w:val="24"/>
          <w:szCs w:val="24"/>
        </w:rPr>
        <w:t xml:space="preserve">daily </w:t>
      </w:r>
      <w:r w:rsidRPr="007B131D">
        <w:rPr>
          <w:rFonts w:cs="Arial"/>
          <w:sz w:val="24"/>
          <w:szCs w:val="24"/>
        </w:rPr>
        <w:t>unlock as at 1</w:t>
      </w:r>
      <w:r w:rsidR="00361BA4" w:rsidRPr="007B131D">
        <w:rPr>
          <w:rFonts w:cs="Arial"/>
          <w:sz w:val="24"/>
          <w:szCs w:val="24"/>
        </w:rPr>
        <w:t xml:space="preserve">5 </w:t>
      </w:r>
      <w:r w:rsidRPr="007B131D">
        <w:rPr>
          <w:rFonts w:cs="Arial"/>
          <w:sz w:val="24"/>
          <w:szCs w:val="24"/>
        </w:rPr>
        <w:t>May 2023 was 24 180 against a</w:t>
      </w:r>
      <w:r w:rsidR="00874B1A" w:rsidRPr="007B131D">
        <w:rPr>
          <w:rFonts w:cs="Arial"/>
          <w:sz w:val="24"/>
          <w:szCs w:val="24"/>
        </w:rPr>
        <w:t xml:space="preserve">n approved </w:t>
      </w:r>
      <w:r w:rsidRPr="007B131D">
        <w:rPr>
          <w:rFonts w:cs="Arial"/>
          <w:sz w:val="24"/>
          <w:szCs w:val="24"/>
        </w:rPr>
        <w:t>bedspace of 17 778.</w:t>
      </w:r>
    </w:p>
    <w:p w:rsidR="00361BA4" w:rsidRPr="007B131D" w:rsidRDefault="00361BA4" w:rsidP="00B15D2D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08"/>
        <w:gridCol w:w="1430"/>
        <w:gridCol w:w="1340"/>
        <w:gridCol w:w="1510"/>
        <w:gridCol w:w="1830"/>
      </w:tblGrid>
      <w:tr w:rsidR="00361BA4" w:rsidRPr="007B131D" w:rsidTr="00361BA4">
        <w:tc>
          <w:tcPr>
            <w:tcW w:w="1260" w:type="dxa"/>
            <w:vMerge w:val="restart"/>
            <w:shd w:val="clear" w:color="auto" w:fill="D9D9D9"/>
          </w:tcPr>
          <w:p w:rsidR="00361BA4" w:rsidRPr="007B131D" w:rsidRDefault="00361BA4" w:rsidP="00412047">
            <w:pPr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Approved Bedspace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361BA4" w:rsidRPr="007B131D" w:rsidRDefault="00361BA4" w:rsidP="0041204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Inmate population</w:t>
            </w:r>
          </w:p>
        </w:tc>
        <w:tc>
          <w:tcPr>
            <w:tcW w:w="1487" w:type="dxa"/>
            <w:vMerge w:val="restart"/>
            <w:shd w:val="clear" w:color="auto" w:fill="D9D9D9"/>
          </w:tcPr>
          <w:p w:rsidR="00361BA4" w:rsidRPr="007B131D" w:rsidRDefault="00361BA4" w:rsidP="00361B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Occupancy Level</w:t>
            </w:r>
          </w:p>
        </w:tc>
        <w:tc>
          <w:tcPr>
            <w:tcW w:w="1614" w:type="dxa"/>
            <w:vMerge w:val="restart"/>
            <w:shd w:val="clear" w:color="auto" w:fill="D9D9D9"/>
          </w:tcPr>
          <w:p w:rsidR="00361BA4" w:rsidRPr="007B131D" w:rsidRDefault="00361BA4" w:rsidP="00361B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Overcrowding level</w:t>
            </w:r>
          </w:p>
        </w:tc>
      </w:tr>
      <w:tr w:rsidR="00361BA4" w:rsidRPr="007B131D" w:rsidTr="00361BA4">
        <w:tc>
          <w:tcPr>
            <w:tcW w:w="1260" w:type="dxa"/>
            <w:vMerge/>
            <w:shd w:val="clear" w:color="auto" w:fill="D9D9D9"/>
          </w:tcPr>
          <w:p w:rsidR="00361BA4" w:rsidRPr="007B131D" w:rsidRDefault="00361BA4" w:rsidP="0041204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361BA4" w:rsidRPr="007B131D" w:rsidRDefault="00361BA4" w:rsidP="0041204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Remand Detainees and other unsentenced</w:t>
            </w:r>
          </w:p>
        </w:tc>
        <w:tc>
          <w:tcPr>
            <w:tcW w:w="1228" w:type="dxa"/>
            <w:shd w:val="clear" w:color="auto" w:fill="D9D9D9"/>
          </w:tcPr>
          <w:p w:rsidR="00361BA4" w:rsidRPr="007B131D" w:rsidRDefault="00361BA4" w:rsidP="0041204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Sentenced</w:t>
            </w:r>
          </w:p>
        </w:tc>
        <w:tc>
          <w:tcPr>
            <w:tcW w:w="1575" w:type="dxa"/>
            <w:shd w:val="clear" w:color="auto" w:fill="D9D9D9"/>
          </w:tcPr>
          <w:p w:rsidR="00361BA4" w:rsidRPr="007B131D" w:rsidRDefault="00361BA4" w:rsidP="0041204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B131D">
              <w:rPr>
                <w:rFonts w:cs="Arial"/>
                <w:b/>
                <w:sz w:val="24"/>
                <w:szCs w:val="24"/>
              </w:rPr>
              <w:t>Grant total</w:t>
            </w:r>
          </w:p>
        </w:tc>
        <w:tc>
          <w:tcPr>
            <w:tcW w:w="1487" w:type="dxa"/>
            <w:vMerge/>
            <w:shd w:val="clear" w:color="auto" w:fill="D9D9D9"/>
          </w:tcPr>
          <w:p w:rsidR="00361BA4" w:rsidRPr="007B131D" w:rsidRDefault="00361BA4" w:rsidP="0041204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D9D9D9"/>
          </w:tcPr>
          <w:p w:rsidR="00361BA4" w:rsidRPr="007B131D" w:rsidRDefault="00361BA4" w:rsidP="0041204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61BA4" w:rsidRPr="007B131D" w:rsidTr="00361BA4">
        <w:tc>
          <w:tcPr>
            <w:tcW w:w="1260" w:type="dxa"/>
            <w:shd w:val="clear" w:color="auto" w:fill="auto"/>
          </w:tcPr>
          <w:p w:rsidR="00361BA4" w:rsidRPr="00EE47D0" w:rsidRDefault="00361BA4" w:rsidP="0041204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47D0">
              <w:rPr>
                <w:rFonts w:cs="Arial"/>
                <w:sz w:val="24"/>
                <w:szCs w:val="24"/>
              </w:rPr>
              <w:t>17</w:t>
            </w:r>
            <w:r w:rsidR="00EE47D0" w:rsidRPr="00EE47D0">
              <w:rPr>
                <w:rFonts w:cs="Arial"/>
                <w:sz w:val="24"/>
                <w:szCs w:val="24"/>
              </w:rPr>
              <w:t xml:space="preserve"> </w:t>
            </w:r>
            <w:r w:rsidRPr="00EE47D0">
              <w:rPr>
                <w:rFonts w:cs="Arial"/>
                <w:sz w:val="24"/>
                <w:szCs w:val="24"/>
              </w:rPr>
              <w:t>778</w:t>
            </w:r>
          </w:p>
        </w:tc>
        <w:tc>
          <w:tcPr>
            <w:tcW w:w="2160" w:type="dxa"/>
            <w:shd w:val="clear" w:color="auto" w:fill="auto"/>
          </w:tcPr>
          <w:p w:rsidR="00361BA4" w:rsidRPr="00EE47D0" w:rsidRDefault="00361BA4" w:rsidP="0041204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47D0">
              <w:rPr>
                <w:rFonts w:cs="Arial"/>
                <w:sz w:val="24"/>
                <w:szCs w:val="24"/>
              </w:rPr>
              <w:t>6</w:t>
            </w:r>
            <w:r w:rsidR="00EE47D0" w:rsidRPr="00EE47D0">
              <w:rPr>
                <w:rFonts w:cs="Arial"/>
                <w:sz w:val="24"/>
                <w:szCs w:val="24"/>
              </w:rPr>
              <w:t xml:space="preserve"> </w:t>
            </w:r>
            <w:r w:rsidRPr="00EE47D0">
              <w:rPr>
                <w:rFonts w:cs="Arial"/>
                <w:sz w:val="24"/>
                <w:szCs w:val="24"/>
              </w:rPr>
              <w:t>874</w:t>
            </w:r>
          </w:p>
        </w:tc>
        <w:tc>
          <w:tcPr>
            <w:tcW w:w="1228" w:type="dxa"/>
            <w:shd w:val="clear" w:color="auto" w:fill="auto"/>
          </w:tcPr>
          <w:p w:rsidR="00361BA4" w:rsidRPr="00EE47D0" w:rsidRDefault="00361BA4" w:rsidP="0041204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47D0">
              <w:rPr>
                <w:rFonts w:cs="Arial"/>
                <w:sz w:val="24"/>
                <w:szCs w:val="24"/>
              </w:rPr>
              <w:t>17</w:t>
            </w:r>
            <w:r w:rsidR="00EE47D0" w:rsidRPr="00EE47D0">
              <w:rPr>
                <w:rFonts w:cs="Arial"/>
                <w:sz w:val="24"/>
                <w:szCs w:val="24"/>
              </w:rPr>
              <w:t xml:space="preserve"> </w:t>
            </w:r>
            <w:r w:rsidRPr="00EE47D0">
              <w:rPr>
                <w:rFonts w:cs="Arial"/>
                <w:sz w:val="24"/>
                <w:szCs w:val="24"/>
              </w:rPr>
              <w:t>222</w:t>
            </w:r>
          </w:p>
        </w:tc>
        <w:tc>
          <w:tcPr>
            <w:tcW w:w="1575" w:type="dxa"/>
            <w:shd w:val="clear" w:color="auto" w:fill="auto"/>
          </w:tcPr>
          <w:p w:rsidR="00361BA4" w:rsidRPr="00EE47D0" w:rsidRDefault="00361BA4" w:rsidP="0041204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47D0">
              <w:rPr>
                <w:rFonts w:cs="Arial"/>
                <w:sz w:val="24"/>
                <w:szCs w:val="24"/>
              </w:rPr>
              <w:t>24</w:t>
            </w:r>
            <w:r w:rsidR="00EE47D0" w:rsidRPr="00EE47D0">
              <w:rPr>
                <w:rFonts w:cs="Arial"/>
                <w:sz w:val="24"/>
                <w:szCs w:val="24"/>
              </w:rPr>
              <w:t xml:space="preserve"> </w:t>
            </w:r>
            <w:r w:rsidRPr="00EE47D0">
              <w:rPr>
                <w:rFonts w:cs="Arial"/>
                <w:sz w:val="24"/>
                <w:szCs w:val="24"/>
              </w:rPr>
              <w:t>096</w:t>
            </w:r>
          </w:p>
        </w:tc>
        <w:tc>
          <w:tcPr>
            <w:tcW w:w="1487" w:type="dxa"/>
            <w:shd w:val="clear" w:color="auto" w:fill="auto"/>
          </w:tcPr>
          <w:p w:rsidR="00361BA4" w:rsidRPr="00EE47D0" w:rsidRDefault="00361BA4" w:rsidP="0041204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47D0">
              <w:rPr>
                <w:rFonts w:cs="Arial"/>
                <w:sz w:val="24"/>
                <w:szCs w:val="24"/>
              </w:rPr>
              <w:t>135.54%</w:t>
            </w:r>
          </w:p>
        </w:tc>
        <w:tc>
          <w:tcPr>
            <w:tcW w:w="1614" w:type="dxa"/>
            <w:shd w:val="clear" w:color="auto" w:fill="auto"/>
          </w:tcPr>
          <w:p w:rsidR="00361BA4" w:rsidRPr="00EE47D0" w:rsidRDefault="00361BA4" w:rsidP="00412047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47D0">
              <w:rPr>
                <w:rFonts w:cs="Arial"/>
                <w:sz w:val="24"/>
                <w:szCs w:val="24"/>
              </w:rPr>
              <w:t>35.54%</w:t>
            </w:r>
          </w:p>
        </w:tc>
      </w:tr>
    </w:tbl>
    <w:p w:rsidR="00E568AC" w:rsidRPr="007B131D" w:rsidRDefault="00E568AC" w:rsidP="00B15D2D">
      <w:pPr>
        <w:spacing w:line="360" w:lineRule="auto"/>
        <w:jc w:val="both"/>
        <w:rPr>
          <w:rFonts w:cs="Arial"/>
          <w:sz w:val="24"/>
          <w:szCs w:val="24"/>
        </w:rPr>
      </w:pPr>
    </w:p>
    <w:p w:rsidR="00744DB3" w:rsidRPr="007B131D" w:rsidRDefault="00AB4D8E" w:rsidP="00361BA4">
      <w:pPr>
        <w:spacing w:line="360" w:lineRule="auto"/>
        <w:jc w:val="both"/>
        <w:rPr>
          <w:rFonts w:cs="Arial"/>
          <w:sz w:val="24"/>
          <w:szCs w:val="24"/>
        </w:rPr>
      </w:pPr>
      <w:r w:rsidRPr="007B131D">
        <w:rPr>
          <w:rFonts w:cs="Arial"/>
          <w:sz w:val="24"/>
          <w:szCs w:val="24"/>
        </w:rPr>
        <w:t>The distribution of the correction</w:t>
      </w:r>
      <w:r w:rsidR="00BE15EA">
        <w:rPr>
          <w:rFonts w:cs="Arial"/>
          <w:sz w:val="24"/>
          <w:szCs w:val="24"/>
        </w:rPr>
        <w:t>al</w:t>
      </w:r>
      <w:r w:rsidRPr="007B131D">
        <w:rPr>
          <w:rFonts w:cs="Arial"/>
          <w:sz w:val="24"/>
          <w:szCs w:val="24"/>
        </w:rPr>
        <w:t xml:space="preserve"> centres according to security classification/category: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0"/>
        <w:gridCol w:w="3430"/>
      </w:tblGrid>
      <w:tr w:rsidR="00AB4D8E" w:rsidRPr="007B131D" w:rsidTr="00361BA4">
        <w:trPr>
          <w:trHeight w:val="300"/>
          <w:tblHeader/>
        </w:trPr>
        <w:tc>
          <w:tcPr>
            <w:tcW w:w="3168" w:type="pct"/>
            <w:shd w:val="clear" w:color="auto" w:fill="D9D9D9"/>
            <w:noWrap/>
            <w:vAlign w:val="center"/>
            <w:hideMark/>
          </w:tcPr>
          <w:p w:rsidR="00AB4D8E" w:rsidRPr="007B131D" w:rsidRDefault="00744DB3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</w:rPr>
              <w:t>SECURITY CLASSIFICATION/CATEGORIES</w:t>
            </w:r>
          </w:p>
        </w:tc>
        <w:tc>
          <w:tcPr>
            <w:tcW w:w="1832" w:type="pct"/>
            <w:shd w:val="clear" w:color="auto" w:fill="D9D9D9"/>
            <w:noWrap/>
            <w:vAlign w:val="center"/>
            <w:hideMark/>
          </w:tcPr>
          <w:p w:rsidR="00AB4D8E" w:rsidRPr="007B131D" w:rsidRDefault="00744DB3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lastRenderedPageBreak/>
              <w:t>Maximum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EE47D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  <w:r w:rsidR="00AB4D8E"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361BA4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Remand Detention Facilities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EE47D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  <w:r w:rsidR="00AB4D8E"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Medium - Female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EE47D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  <w:r w:rsidR="00AB4D8E"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Medium - Youth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EE47D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  <w:r w:rsidR="00AB4D8E"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Medium - Juvenile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AB4D8E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Maximum - Juvenile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AB4D8E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B4D8E" w:rsidRPr="007B131D" w:rsidTr="00EE47D0">
        <w:trPr>
          <w:trHeight w:val="300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AB4D8E" w:rsidRPr="00EE47D0" w:rsidRDefault="00744DB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EE47D0">
              <w:rPr>
                <w:rFonts w:cs="Arial"/>
                <w:bCs/>
                <w:sz w:val="24"/>
                <w:szCs w:val="24"/>
                <w:lang w:val="en-US"/>
              </w:rPr>
              <w:t>Medium - Pre-Release</w:t>
            </w:r>
          </w:p>
        </w:tc>
        <w:tc>
          <w:tcPr>
            <w:tcW w:w="1832" w:type="pct"/>
            <w:shd w:val="clear" w:color="auto" w:fill="FFFFFF"/>
            <w:noWrap/>
            <w:vAlign w:val="center"/>
            <w:hideMark/>
          </w:tcPr>
          <w:p w:rsidR="00AB4D8E" w:rsidRPr="007B131D" w:rsidRDefault="00EE47D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0</w:t>
            </w:r>
            <w:r w:rsidR="00AB4D8E"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B4D8E" w:rsidRPr="007B131D" w:rsidTr="00361BA4">
        <w:trPr>
          <w:trHeight w:val="300"/>
        </w:trPr>
        <w:tc>
          <w:tcPr>
            <w:tcW w:w="3168" w:type="pct"/>
            <w:shd w:val="clear" w:color="auto" w:fill="D9D9D9"/>
            <w:noWrap/>
            <w:vAlign w:val="center"/>
            <w:hideMark/>
          </w:tcPr>
          <w:p w:rsidR="00AB4D8E" w:rsidRPr="007B131D" w:rsidRDefault="00AB4D8E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832" w:type="pct"/>
            <w:shd w:val="clear" w:color="auto" w:fill="D9D9D9"/>
            <w:noWrap/>
            <w:vAlign w:val="center"/>
            <w:hideMark/>
          </w:tcPr>
          <w:p w:rsidR="00AB4D8E" w:rsidRPr="007B131D" w:rsidRDefault="00AB4D8E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7B131D">
              <w:rPr>
                <w:rFonts w:cs="Arial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</w:tbl>
    <w:p w:rsidR="00AB4D8E" w:rsidRPr="007B131D" w:rsidRDefault="00AB4D8E" w:rsidP="00AB4D8E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7B131D">
        <w:rPr>
          <w:rFonts w:cs="Arial"/>
          <w:bCs/>
          <w:sz w:val="24"/>
          <w:szCs w:val="24"/>
        </w:rPr>
        <w:t xml:space="preserve">  </w:t>
      </w:r>
    </w:p>
    <w:p w:rsidR="00EE47D0" w:rsidRDefault="00EE47D0" w:rsidP="00361BA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should be noted that the main contributing factor to overcrowding is the type of serious crimes committed which result to long sentences and bail denial by the courts. </w:t>
      </w:r>
    </w:p>
    <w:p w:rsidR="008078C5" w:rsidRDefault="00B15D2D" w:rsidP="00361BA4">
      <w:pPr>
        <w:spacing w:line="360" w:lineRule="auto"/>
        <w:jc w:val="both"/>
        <w:rPr>
          <w:rFonts w:cs="Arial"/>
          <w:sz w:val="24"/>
          <w:szCs w:val="24"/>
        </w:rPr>
      </w:pPr>
      <w:r w:rsidRPr="007B131D">
        <w:rPr>
          <w:rFonts w:cs="Arial"/>
          <w:sz w:val="24"/>
          <w:szCs w:val="24"/>
        </w:rPr>
        <w:t>In an effort to manage overcrowding</w:t>
      </w:r>
      <w:r w:rsidR="00BE15EA">
        <w:rPr>
          <w:rFonts w:cs="Arial"/>
          <w:sz w:val="24"/>
          <w:szCs w:val="24"/>
        </w:rPr>
        <w:t>,</w:t>
      </w:r>
      <w:r w:rsidRPr="007B131D">
        <w:rPr>
          <w:rFonts w:cs="Arial"/>
          <w:sz w:val="24"/>
          <w:szCs w:val="24"/>
        </w:rPr>
        <w:t xml:space="preserve"> </w:t>
      </w:r>
      <w:r w:rsidR="00EE47D0">
        <w:rPr>
          <w:rFonts w:cs="Arial"/>
          <w:sz w:val="24"/>
          <w:szCs w:val="24"/>
        </w:rPr>
        <w:t>the Department continues to implement</w:t>
      </w:r>
      <w:r w:rsidRPr="007B131D">
        <w:rPr>
          <w:rFonts w:cs="Arial"/>
          <w:sz w:val="24"/>
          <w:szCs w:val="24"/>
        </w:rPr>
        <w:t xml:space="preserve"> </w:t>
      </w:r>
      <w:r w:rsidR="00874B1A" w:rsidRPr="007B131D">
        <w:rPr>
          <w:rFonts w:cs="Arial"/>
          <w:sz w:val="24"/>
          <w:szCs w:val="24"/>
        </w:rPr>
        <w:t xml:space="preserve">the approved </w:t>
      </w:r>
      <w:r w:rsidR="003845AA" w:rsidRPr="007B131D">
        <w:rPr>
          <w:rFonts w:cs="Arial"/>
          <w:sz w:val="24"/>
          <w:szCs w:val="24"/>
        </w:rPr>
        <w:t>Overcrowding</w:t>
      </w:r>
      <w:r w:rsidR="00874B1A" w:rsidRPr="007B131D">
        <w:rPr>
          <w:rFonts w:cs="Arial"/>
          <w:sz w:val="24"/>
          <w:szCs w:val="24"/>
        </w:rPr>
        <w:t xml:space="preserve"> </w:t>
      </w:r>
      <w:r w:rsidRPr="007B131D">
        <w:rPr>
          <w:rFonts w:cs="Arial"/>
          <w:sz w:val="24"/>
          <w:szCs w:val="24"/>
        </w:rPr>
        <w:t>Reduction Strategy that elaborates on direct and indirect measures to manage overcrowding within correctional facilities.</w:t>
      </w:r>
      <w:r w:rsidR="008F4AF2" w:rsidRPr="007B131D">
        <w:rPr>
          <w:rFonts w:cs="Arial"/>
          <w:sz w:val="24"/>
          <w:szCs w:val="24"/>
        </w:rPr>
        <w:t xml:space="preserve"> </w:t>
      </w:r>
    </w:p>
    <w:p w:rsidR="00EE47D0" w:rsidRPr="007B131D" w:rsidRDefault="00EE47D0" w:rsidP="00361BA4">
      <w:pPr>
        <w:spacing w:line="360" w:lineRule="auto"/>
        <w:jc w:val="both"/>
        <w:rPr>
          <w:rFonts w:cs="Arial"/>
          <w:sz w:val="24"/>
          <w:szCs w:val="24"/>
        </w:rPr>
      </w:pPr>
    </w:p>
    <w:p w:rsidR="00402A87" w:rsidRPr="007B131D" w:rsidRDefault="00874B1A" w:rsidP="00361BA4">
      <w:p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/>
          <w:bCs/>
          <w:sz w:val="24"/>
          <w:szCs w:val="24"/>
        </w:rPr>
        <w:t>Direct measures</w:t>
      </w:r>
      <w:r w:rsidRPr="007B131D">
        <w:rPr>
          <w:rFonts w:eastAsia="Calibri" w:cs="Arial"/>
          <w:bCs/>
          <w:sz w:val="24"/>
          <w:szCs w:val="24"/>
        </w:rPr>
        <w:t xml:space="preserve"> are those that may result in the reduction of the inmates</w:t>
      </w:r>
      <w:r w:rsidR="00BE15EA">
        <w:rPr>
          <w:rFonts w:eastAsia="Calibri" w:cs="Arial"/>
          <w:bCs/>
          <w:sz w:val="24"/>
          <w:szCs w:val="24"/>
        </w:rPr>
        <w:t xml:space="preserve"> such as: </w:t>
      </w:r>
    </w:p>
    <w:p w:rsidR="003845AA" w:rsidRPr="00BE15EA" w:rsidRDefault="003845AA" w:rsidP="00BE15EA">
      <w:pPr>
        <w:numPr>
          <w:ilvl w:val="0"/>
          <w:numId w:val="7"/>
        </w:numPr>
        <w:tabs>
          <w:tab w:val="left" w:pos="450"/>
        </w:tabs>
        <w:spacing w:line="360" w:lineRule="auto"/>
        <w:ind w:hanging="720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Placement on Parole (Lifers</w:t>
      </w:r>
      <w:r w:rsidR="00BE15EA">
        <w:rPr>
          <w:rFonts w:cs="Arial"/>
          <w:color w:val="000000"/>
          <w:kern w:val="24"/>
          <w:sz w:val="24"/>
          <w:szCs w:val="24"/>
          <w:lang w:val="en-US" w:eastAsia="en-ZA"/>
        </w:rPr>
        <w:t xml:space="preserve">; </w:t>
      </w:r>
      <w:r w:rsidR="00BE15EA"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Determinate sentences</w:t>
      </w: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)</w:t>
      </w:r>
      <w:r w:rsidR="00BE15EA">
        <w:rPr>
          <w:rFonts w:cs="Arial"/>
          <w:color w:val="000000"/>
          <w:kern w:val="24"/>
          <w:sz w:val="24"/>
          <w:szCs w:val="24"/>
          <w:lang w:val="en-US" w:eastAsia="en-ZA"/>
        </w:rPr>
        <w:t>;</w:t>
      </w:r>
    </w:p>
    <w:p w:rsidR="003845AA" w:rsidRDefault="003845AA" w:rsidP="00361BA4">
      <w:pPr>
        <w:numPr>
          <w:ilvl w:val="0"/>
          <w:numId w:val="7"/>
        </w:numPr>
        <w:tabs>
          <w:tab w:val="left" w:pos="450"/>
        </w:tabs>
        <w:spacing w:line="360" w:lineRule="auto"/>
        <w:ind w:hanging="720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Cs/>
          <w:sz w:val="24"/>
          <w:szCs w:val="24"/>
        </w:rPr>
        <w:t>Special Remission</w:t>
      </w:r>
      <w:r w:rsidR="00BE15EA">
        <w:rPr>
          <w:rFonts w:eastAsia="Calibri" w:cs="Arial"/>
          <w:bCs/>
          <w:sz w:val="24"/>
          <w:szCs w:val="24"/>
        </w:rPr>
        <w:t xml:space="preserve"> of sentences;</w:t>
      </w:r>
    </w:p>
    <w:p w:rsidR="00BE15EA" w:rsidRPr="007B131D" w:rsidRDefault="00BE15EA" w:rsidP="00361BA4">
      <w:pPr>
        <w:numPr>
          <w:ilvl w:val="0"/>
          <w:numId w:val="7"/>
        </w:numPr>
        <w:tabs>
          <w:tab w:val="left" w:pos="450"/>
        </w:tabs>
        <w:spacing w:line="360" w:lineRule="auto"/>
        <w:ind w:hanging="720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Transfer</w:t>
      </w:r>
      <w:r>
        <w:rPr>
          <w:rFonts w:cs="Arial"/>
          <w:color w:val="000000"/>
          <w:kern w:val="24"/>
          <w:sz w:val="24"/>
          <w:szCs w:val="24"/>
          <w:lang w:val="en-US" w:eastAsia="en-ZA"/>
        </w:rPr>
        <w:t>s</w:t>
      </w: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 xml:space="preserve"> between correctional centres</w:t>
      </w:r>
      <w:r>
        <w:rPr>
          <w:rFonts w:cs="Arial"/>
          <w:color w:val="000000"/>
          <w:kern w:val="24"/>
          <w:sz w:val="24"/>
          <w:szCs w:val="24"/>
          <w:lang w:val="en-US" w:eastAsia="en-ZA"/>
        </w:rPr>
        <w:t>.</w:t>
      </w:r>
    </w:p>
    <w:p w:rsidR="00874B1A" w:rsidRPr="007B131D" w:rsidRDefault="00874B1A" w:rsidP="00361BA4">
      <w:pPr>
        <w:spacing w:line="360" w:lineRule="auto"/>
        <w:jc w:val="both"/>
        <w:rPr>
          <w:rFonts w:eastAsia="Calibri" w:cs="Arial"/>
          <w:bCs/>
          <w:sz w:val="24"/>
          <w:szCs w:val="24"/>
        </w:rPr>
      </w:pPr>
    </w:p>
    <w:p w:rsidR="00402A87" w:rsidRPr="007B131D" w:rsidRDefault="00874B1A" w:rsidP="00361BA4">
      <w:p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/>
          <w:bCs/>
          <w:sz w:val="24"/>
          <w:szCs w:val="24"/>
        </w:rPr>
        <w:t>Indirect measures</w:t>
      </w:r>
      <w:r w:rsidRPr="007B131D">
        <w:rPr>
          <w:rFonts w:eastAsia="Calibri" w:cs="Arial"/>
          <w:bCs/>
          <w:sz w:val="24"/>
          <w:szCs w:val="24"/>
        </w:rPr>
        <w:t xml:space="preserve"> are for facilitating reduction through implementation of activities that can contribute to the reduction of the DCS population</w:t>
      </w:r>
      <w:r w:rsidR="00BE15EA">
        <w:rPr>
          <w:rFonts w:eastAsia="Calibri" w:cs="Arial"/>
          <w:bCs/>
          <w:sz w:val="24"/>
          <w:szCs w:val="24"/>
        </w:rPr>
        <w:t xml:space="preserve"> namely:</w:t>
      </w:r>
    </w:p>
    <w:p w:rsidR="003845AA" w:rsidRPr="007B131D" w:rsidRDefault="003845AA" w:rsidP="00361BA4">
      <w:pPr>
        <w:numPr>
          <w:ilvl w:val="0"/>
          <w:numId w:val="7"/>
        </w:numPr>
        <w:tabs>
          <w:tab w:val="left" w:pos="450"/>
        </w:tabs>
        <w:spacing w:line="360" w:lineRule="auto"/>
        <w:ind w:left="450" w:hanging="450"/>
        <w:jc w:val="both"/>
        <w:rPr>
          <w:rFonts w:cs="Arial"/>
          <w:color w:val="000000"/>
          <w:kern w:val="24"/>
          <w:sz w:val="24"/>
          <w:szCs w:val="24"/>
          <w:lang w:val="en-US" w:eastAsia="en-ZA"/>
        </w:rPr>
      </w:pP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Reclassification of offenders at prescribed interval for ensuring that security declassification takes place</w:t>
      </w:r>
      <w:r w:rsidR="00BE15EA">
        <w:rPr>
          <w:rFonts w:cs="Arial"/>
          <w:color w:val="000000"/>
          <w:kern w:val="24"/>
          <w:sz w:val="24"/>
          <w:szCs w:val="24"/>
          <w:lang w:val="en-US" w:eastAsia="en-ZA"/>
        </w:rPr>
        <w:t>;</w:t>
      </w:r>
    </w:p>
    <w:p w:rsidR="006C0D7C" w:rsidRPr="007B131D" w:rsidRDefault="006C0D7C" w:rsidP="007B131D">
      <w:pPr>
        <w:numPr>
          <w:ilvl w:val="0"/>
          <w:numId w:val="7"/>
        </w:numPr>
        <w:tabs>
          <w:tab w:val="left" w:pos="450"/>
        </w:tabs>
        <w:spacing w:line="360" w:lineRule="auto"/>
        <w:ind w:left="426" w:hanging="426"/>
        <w:jc w:val="both"/>
        <w:rPr>
          <w:rFonts w:cs="Arial"/>
          <w:color w:val="000000"/>
          <w:kern w:val="24"/>
          <w:sz w:val="24"/>
          <w:szCs w:val="24"/>
          <w:lang w:val="en-US" w:eastAsia="en-ZA"/>
        </w:rPr>
      </w:pP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Referral to court by DCS for conversion of a sentence of imprisonment to correctional supervision</w:t>
      </w:r>
      <w:r w:rsidR="00BE15EA">
        <w:rPr>
          <w:rFonts w:cs="Arial"/>
          <w:color w:val="000000"/>
          <w:kern w:val="24"/>
          <w:sz w:val="24"/>
          <w:szCs w:val="24"/>
          <w:lang w:val="en-US" w:eastAsia="en-ZA"/>
        </w:rPr>
        <w:t>;</w:t>
      </w:r>
    </w:p>
    <w:p w:rsidR="00BE15EA" w:rsidRDefault="00BE15EA" w:rsidP="00361BA4">
      <w:pPr>
        <w:numPr>
          <w:ilvl w:val="0"/>
          <w:numId w:val="7"/>
        </w:numPr>
        <w:tabs>
          <w:tab w:val="left" w:pos="450"/>
        </w:tabs>
        <w:spacing w:line="360" w:lineRule="auto"/>
        <w:ind w:hanging="720"/>
        <w:jc w:val="both"/>
        <w:rPr>
          <w:rFonts w:cs="Arial"/>
          <w:color w:val="000000"/>
          <w:kern w:val="24"/>
          <w:sz w:val="24"/>
          <w:szCs w:val="24"/>
          <w:lang w:val="en-US" w:eastAsia="en-ZA"/>
        </w:rPr>
      </w:pPr>
      <w:r w:rsidRPr="007B131D">
        <w:rPr>
          <w:rFonts w:eastAsia="Calibri" w:cs="Arial"/>
          <w:bCs/>
          <w:sz w:val="24"/>
          <w:szCs w:val="24"/>
          <w:lang w:val="en-GB"/>
        </w:rPr>
        <w:t>Restorative Justice approaches (VOD/VOM)</w:t>
      </w:r>
    </w:p>
    <w:p w:rsidR="003845AA" w:rsidRDefault="007B131D" w:rsidP="00361BA4">
      <w:pPr>
        <w:numPr>
          <w:ilvl w:val="0"/>
          <w:numId w:val="7"/>
        </w:numPr>
        <w:tabs>
          <w:tab w:val="left" w:pos="450"/>
        </w:tabs>
        <w:spacing w:line="360" w:lineRule="auto"/>
        <w:ind w:hanging="720"/>
        <w:jc w:val="both"/>
        <w:rPr>
          <w:rFonts w:cs="Arial"/>
          <w:color w:val="000000"/>
          <w:kern w:val="24"/>
          <w:sz w:val="24"/>
          <w:szCs w:val="24"/>
          <w:lang w:val="en-US" w:eastAsia="en-ZA"/>
        </w:rPr>
      </w:pPr>
      <w:r>
        <w:rPr>
          <w:rFonts w:cs="Arial"/>
          <w:color w:val="000000"/>
          <w:kern w:val="24"/>
          <w:sz w:val="24"/>
          <w:szCs w:val="24"/>
          <w:lang w:val="en-US" w:eastAsia="en-ZA"/>
        </w:rPr>
        <w:t>Crime Awareness Campaigns</w:t>
      </w:r>
      <w:r w:rsidR="00BE15EA">
        <w:rPr>
          <w:rFonts w:cs="Arial"/>
          <w:color w:val="000000"/>
          <w:kern w:val="24"/>
          <w:sz w:val="24"/>
          <w:szCs w:val="24"/>
          <w:lang w:val="en-US" w:eastAsia="en-ZA"/>
        </w:rPr>
        <w:t xml:space="preserve"> such as-</w:t>
      </w:r>
    </w:p>
    <w:p w:rsidR="00BE15EA" w:rsidRPr="007B131D" w:rsidRDefault="00BE15EA" w:rsidP="00BE15EA">
      <w:pPr>
        <w:numPr>
          <w:ilvl w:val="1"/>
          <w:numId w:val="7"/>
        </w:numPr>
        <w:tabs>
          <w:tab w:val="left" w:pos="450"/>
        </w:tabs>
        <w:spacing w:line="360" w:lineRule="auto"/>
        <w:ind w:hanging="1014"/>
        <w:jc w:val="both"/>
        <w:rPr>
          <w:rFonts w:cs="Arial"/>
          <w:color w:val="000000"/>
          <w:kern w:val="24"/>
          <w:sz w:val="24"/>
          <w:szCs w:val="24"/>
          <w:lang w:val="en-US" w:eastAsia="en-ZA"/>
        </w:rPr>
      </w:pP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School campaigns/ outreach programmes</w:t>
      </w:r>
    </w:p>
    <w:p w:rsidR="00BE15EA" w:rsidRPr="007B131D" w:rsidRDefault="00BE15EA" w:rsidP="00BE15EA">
      <w:pPr>
        <w:numPr>
          <w:ilvl w:val="1"/>
          <w:numId w:val="7"/>
        </w:numPr>
        <w:tabs>
          <w:tab w:val="left" w:pos="450"/>
        </w:tabs>
        <w:spacing w:line="360" w:lineRule="auto"/>
        <w:ind w:hanging="1014"/>
        <w:jc w:val="both"/>
        <w:rPr>
          <w:rFonts w:cs="Arial"/>
          <w:color w:val="000000"/>
          <w:kern w:val="24"/>
          <w:sz w:val="24"/>
          <w:szCs w:val="24"/>
          <w:lang w:val="en-US" w:eastAsia="en-ZA"/>
        </w:rPr>
      </w:pPr>
      <w:r>
        <w:rPr>
          <w:rFonts w:cs="Arial"/>
          <w:color w:val="000000"/>
          <w:kern w:val="24"/>
          <w:sz w:val="24"/>
          <w:szCs w:val="24"/>
          <w:lang w:val="en-US" w:eastAsia="en-ZA"/>
        </w:rPr>
        <w:t>I</w:t>
      </w:r>
      <w:r w:rsidR="00A96E6D">
        <w:rPr>
          <w:rFonts w:cs="Arial"/>
          <w:color w:val="000000"/>
          <w:kern w:val="24"/>
          <w:sz w:val="24"/>
          <w:szCs w:val="24"/>
          <w:lang w:val="en-US" w:eastAsia="en-ZA"/>
        </w:rPr>
        <w:t>zi</w:t>
      </w:r>
      <w:r>
        <w:rPr>
          <w:rFonts w:cs="Arial"/>
          <w:color w:val="000000"/>
          <w:kern w:val="24"/>
          <w:sz w:val="24"/>
          <w:szCs w:val="24"/>
          <w:lang w:val="en-US" w:eastAsia="en-ZA"/>
        </w:rPr>
        <w:t>mbizo</w:t>
      </w:r>
    </w:p>
    <w:p w:rsidR="00361BA4" w:rsidRPr="007B131D" w:rsidRDefault="00361BA4" w:rsidP="00361BA4">
      <w:pPr>
        <w:spacing w:line="360" w:lineRule="auto"/>
        <w:ind w:left="720"/>
        <w:jc w:val="both"/>
        <w:rPr>
          <w:rFonts w:eastAsia="Calibri" w:cs="Arial"/>
          <w:bCs/>
          <w:sz w:val="24"/>
          <w:szCs w:val="24"/>
        </w:rPr>
      </w:pPr>
    </w:p>
    <w:p w:rsidR="003845AA" w:rsidRPr="007B131D" w:rsidRDefault="003845AA" w:rsidP="00361BA4">
      <w:p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Cs/>
          <w:sz w:val="24"/>
          <w:szCs w:val="24"/>
        </w:rPr>
        <w:t xml:space="preserve">The Department has established </w:t>
      </w:r>
      <w:r w:rsidR="00EE47D0" w:rsidRPr="007B131D">
        <w:rPr>
          <w:rFonts w:eastAsia="Calibri" w:cs="Arial"/>
          <w:bCs/>
          <w:sz w:val="24"/>
          <w:szCs w:val="24"/>
        </w:rPr>
        <w:t xml:space="preserve">Governance </w:t>
      </w:r>
      <w:r w:rsidRPr="007B131D">
        <w:rPr>
          <w:rFonts w:eastAsia="Calibri" w:cs="Arial"/>
          <w:bCs/>
          <w:sz w:val="24"/>
          <w:szCs w:val="24"/>
        </w:rPr>
        <w:t>structure</w:t>
      </w:r>
      <w:r w:rsidR="00466323" w:rsidRPr="007B131D">
        <w:rPr>
          <w:rFonts w:eastAsia="Calibri" w:cs="Arial"/>
          <w:bCs/>
          <w:sz w:val="24"/>
          <w:szCs w:val="24"/>
        </w:rPr>
        <w:t>s</w:t>
      </w:r>
      <w:r w:rsidRPr="007B131D">
        <w:rPr>
          <w:rFonts w:eastAsia="Calibri" w:cs="Arial"/>
          <w:bCs/>
          <w:sz w:val="24"/>
          <w:szCs w:val="24"/>
        </w:rPr>
        <w:t xml:space="preserve"> </w:t>
      </w:r>
      <w:r w:rsidR="00466323" w:rsidRPr="007B131D">
        <w:rPr>
          <w:rFonts w:eastAsia="Calibri" w:cs="Arial"/>
          <w:bCs/>
          <w:sz w:val="24"/>
          <w:szCs w:val="24"/>
        </w:rPr>
        <w:t xml:space="preserve">where overcrowding and </w:t>
      </w:r>
      <w:r w:rsidR="00BE15EA">
        <w:rPr>
          <w:rFonts w:eastAsia="Calibri" w:cs="Arial"/>
          <w:bCs/>
          <w:sz w:val="24"/>
          <w:szCs w:val="24"/>
        </w:rPr>
        <w:t xml:space="preserve">the </w:t>
      </w:r>
      <w:r w:rsidR="00466323" w:rsidRPr="007B131D">
        <w:rPr>
          <w:rFonts w:eastAsia="Calibri" w:cs="Arial"/>
          <w:bCs/>
          <w:sz w:val="24"/>
          <w:szCs w:val="24"/>
        </w:rPr>
        <w:t xml:space="preserve">management </w:t>
      </w:r>
      <w:r w:rsidR="00BE15EA">
        <w:rPr>
          <w:rFonts w:eastAsia="Calibri" w:cs="Arial"/>
          <w:bCs/>
          <w:sz w:val="24"/>
          <w:szCs w:val="24"/>
        </w:rPr>
        <w:t xml:space="preserve">thereof </w:t>
      </w:r>
      <w:r w:rsidR="00744DB3" w:rsidRPr="007B131D">
        <w:rPr>
          <w:rFonts w:eastAsia="Calibri" w:cs="Arial"/>
          <w:bCs/>
          <w:sz w:val="24"/>
          <w:szCs w:val="24"/>
        </w:rPr>
        <w:t>is</w:t>
      </w:r>
      <w:r w:rsidR="00466323" w:rsidRPr="007B131D">
        <w:rPr>
          <w:rFonts w:eastAsia="Calibri" w:cs="Arial"/>
          <w:bCs/>
          <w:sz w:val="24"/>
          <w:szCs w:val="24"/>
        </w:rPr>
        <w:t xml:space="preserve"> discussed. </w:t>
      </w:r>
      <w:r w:rsidR="00EE47D0">
        <w:rPr>
          <w:rFonts w:eastAsia="Calibri" w:cs="Arial"/>
          <w:bCs/>
          <w:sz w:val="24"/>
          <w:szCs w:val="24"/>
        </w:rPr>
        <w:t xml:space="preserve"> </w:t>
      </w:r>
      <w:r w:rsidR="00466323" w:rsidRPr="007B131D">
        <w:rPr>
          <w:rFonts w:eastAsia="Calibri" w:cs="Arial"/>
          <w:bCs/>
          <w:sz w:val="24"/>
          <w:szCs w:val="24"/>
        </w:rPr>
        <w:t>The National Overcrowding Task Team (NOTT) monitor</w:t>
      </w:r>
      <w:r w:rsidR="00744DB3" w:rsidRPr="007B131D">
        <w:rPr>
          <w:rFonts w:eastAsia="Calibri" w:cs="Arial"/>
          <w:bCs/>
          <w:sz w:val="24"/>
          <w:szCs w:val="24"/>
        </w:rPr>
        <w:t>s</w:t>
      </w:r>
      <w:r w:rsidR="00466323" w:rsidRPr="007B131D">
        <w:rPr>
          <w:rFonts w:eastAsia="Calibri" w:cs="Arial"/>
          <w:bCs/>
          <w:sz w:val="24"/>
          <w:szCs w:val="24"/>
        </w:rPr>
        <w:t xml:space="preserve"> the implementation of the Regional Transfer Plans whereas the Regional Overcrowding Task Team (ROTT) monitors even distribution of offenders within the region.</w:t>
      </w:r>
    </w:p>
    <w:p w:rsidR="00361BA4" w:rsidRPr="007B131D" w:rsidRDefault="00361BA4" w:rsidP="00361BA4">
      <w:pPr>
        <w:spacing w:line="360" w:lineRule="auto"/>
        <w:jc w:val="both"/>
        <w:rPr>
          <w:rFonts w:eastAsia="Calibri" w:cs="Arial"/>
          <w:bCs/>
          <w:sz w:val="24"/>
          <w:szCs w:val="24"/>
        </w:rPr>
      </w:pPr>
    </w:p>
    <w:p w:rsidR="006C0D7C" w:rsidRPr="007B131D" w:rsidRDefault="006C0D7C" w:rsidP="00361BA4">
      <w:p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Cs/>
          <w:sz w:val="24"/>
          <w:szCs w:val="24"/>
        </w:rPr>
        <w:t xml:space="preserve">All Protocols in terms of the management of Remand Detainees are implemented at all Remand Detainee and Mixed facilities. </w:t>
      </w:r>
      <w:r w:rsidR="00EE47D0">
        <w:rPr>
          <w:rFonts w:eastAsia="Calibri" w:cs="Arial"/>
          <w:bCs/>
          <w:sz w:val="24"/>
          <w:szCs w:val="24"/>
        </w:rPr>
        <w:t xml:space="preserve"> </w:t>
      </w:r>
      <w:r w:rsidRPr="007B131D">
        <w:rPr>
          <w:rFonts w:eastAsia="Calibri" w:cs="Arial"/>
          <w:bCs/>
          <w:sz w:val="24"/>
          <w:szCs w:val="24"/>
        </w:rPr>
        <w:t>The protocols referred to relate to the following;</w:t>
      </w:r>
    </w:p>
    <w:p w:rsidR="006C0D7C" w:rsidRPr="007B131D" w:rsidRDefault="006C0D7C" w:rsidP="00361BA4">
      <w:pPr>
        <w:numPr>
          <w:ilvl w:val="0"/>
          <w:numId w:val="9"/>
        </w:num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Cs/>
          <w:sz w:val="24"/>
          <w:szCs w:val="24"/>
        </w:rPr>
        <w:t>Referral to court for bail review</w:t>
      </w:r>
      <w:r w:rsidR="00AB4D8E" w:rsidRPr="007B131D">
        <w:rPr>
          <w:rFonts w:eastAsia="Calibri" w:cs="Arial"/>
          <w:bCs/>
          <w:sz w:val="24"/>
          <w:szCs w:val="24"/>
        </w:rPr>
        <w:t xml:space="preserve"> (s63A and s63(1)</w:t>
      </w:r>
      <w:r w:rsidR="00361BA4" w:rsidRPr="007B131D">
        <w:rPr>
          <w:rFonts w:eastAsia="Calibri" w:cs="Arial"/>
          <w:bCs/>
          <w:sz w:val="24"/>
          <w:szCs w:val="24"/>
        </w:rPr>
        <w:t>)</w:t>
      </w:r>
    </w:p>
    <w:p w:rsidR="006C0D7C" w:rsidRPr="007B131D" w:rsidRDefault="006C0D7C" w:rsidP="00361BA4">
      <w:pPr>
        <w:numPr>
          <w:ilvl w:val="0"/>
          <w:numId w:val="9"/>
        </w:num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eastAsia="Calibri" w:cs="Arial"/>
          <w:bCs/>
          <w:sz w:val="24"/>
          <w:szCs w:val="24"/>
        </w:rPr>
        <w:t>Referral for consideration of period spent in detention</w:t>
      </w:r>
      <w:r w:rsidR="00AB4D8E" w:rsidRPr="007B131D">
        <w:rPr>
          <w:rFonts w:eastAsia="Calibri" w:cs="Arial"/>
          <w:bCs/>
          <w:sz w:val="24"/>
          <w:szCs w:val="24"/>
        </w:rPr>
        <w:t xml:space="preserve"> (S49G)</w:t>
      </w:r>
      <w:r w:rsidRPr="007B131D">
        <w:rPr>
          <w:rFonts w:eastAsia="Calibri" w:cs="Arial"/>
          <w:bCs/>
          <w:sz w:val="24"/>
          <w:szCs w:val="24"/>
        </w:rPr>
        <w:t>.</w:t>
      </w:r>
    </w:p>
    <w:p w:rsidR="006C0D7C" w:rsidRPr="007B131D" w:rsidRDefault="006C0D7C" w:rsidP="00361BA4">
      <w:pPr>
        <w:numPr>
          <w:ilvl w:val="0"/>
          <w:numId w:val="9"/>
        </w:numPr>
        <w:spacing w:line="360" w:lineRule="auto"/>
        <w:jc w:val="both"/>
        <w:rPr>
          <w:rFonts w:eastAsia="Calibri" w:cs="Arial"/>
          <w:bCs/>
          <w:sz w:val="24"/>
          <w:szCs w:val="24"/>
        </w:rPr>
      </w:pPr>
      <w:r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>Referral to court of terminally ill or severely incapacitated remand detainees</w:t>
      </w:r>
      <w:r w:rsidR="00AB4D8E" w:rsidRPr="007B131D">
        <w:rPr>
          <w:rFonts w:cs="Arial"/>
          <w:color w:val="000000"/>
          <w:kern w:val="24"/>
          <w:sz w:val="24"/>
          <w:szCs w:val="24"/>
          <w:lang w:val="en-US" w:eastAsia="en-ZA"/>
        </w:rPr>
        <w:t xml:space="preserve"> (s49E)</w:t>
      </w:r>
    </w:p>
    <w:p w:rsidR="008078C5" w:rsidRPr="007B131D" w:rsidRDefault="007B131D" w:rsidP="00B15D2D">
      <w:pPr>
        <w:spacing w:line="360" w:lineRule="auto"/>
        <w:jc w:val="both"/>
        <w:rPr>
          <w:b/>
          <w:sz w:val="24"/>
          <w:szCs w:val="24"/>
        </w:rPr>
      </w:pPr>
      <w:r w:rsidRPr="007B131D">
        <w:rPr>
          <w:b/>
          <w:sz w:val="24"/>
          <w:szCs w:val="24"/>
        </w:rPr>
        <w:t>END.</w:t>
      </w:r>
    </w:p>
    <w:sectPr w:rsidR="008078C5" w:rsidRPr="007B131D" w:rsidSect="0096528C">
      <w:footerReference w:type="default" r:id="rId8"/>
      <w:pgSz w:w="12240" w:h="15840"/>
      <w:pgMar w:top="1010" w:right="1440" w:bottom="993" w:left="1440" w:header="720" w:footer="5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FC" w:rsidRDefault="00894BFC" w:rsidP="00032D81">
      <w:r>
        <w:separator/>
      </w:r>
    </w:p>
  </w:endnote>
  <w:endnote w:type="continuationSeparator" w:id="0">
    <w:p w:rsidR="00894BFC" w:rsidRDefault="00894BFC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Default="00032D81">
    <w:pPr>
      <w:pStyle w:val="Footer"/>
    </w:pPr>
    <w:r>
      <w:t>PQ</w:t>
    </w:r>
    <w:r w:rsidR="004B6288">
      <w:t>1</w:t>
    </w:r>
    <w:r w:rsidR="00564EDC">
      <w:t>790</w:t>
    </w:r>
    <w:r w:rsidR="00610CFC">
      <w:t>- NW</w:t>
    </w:r>
    <w:r w:rsidR="00564EDC">
      <w:t>2055</w:t>
    </w:r>
    <w:r w:rsidR="009F78B2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94B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94B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FC" w:rsidRDefault="00894BFC" w:rsidP="00032D81">
      <w:r>
        <w:separator/>
      </w:r>
    </w:p>
  </w:footnote>
  <w:footnote w:type="continuationSeparator" w:id="0">
    <w:p w:rsidR="00894BFC" w:rsidRDefault="00894BFC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7A87"/>
    <w:multiLevelType w:val="hybridMultilevel"/>
    <w:tmpl w:val="9F5296BC"/>
    <w:lvl w:ilvl="0" w:tplc="1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232628E"/>
    <w:multiLevelType w:val="hybridMultilevel"/>
    <w:tmpl w:val="70E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C7459"/>
    <w:multiLevelType w:val="hybridMultilevel"/>
    <w:tmpl w:val="7EAE58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22960"/>
    <w:multiLevelType w:val="hybridMultilevel"/>
    <w:tmpl w:val="268C22F6"/>
    <w:lvl w:ilvl="0" w:tplc="1C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4FB232EF"/>
    <w:multiLevelType w:val="hybridMultilevel"/>
    <w:tmpl w:val="94A2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A682F"/>
    <w:multiLevelType w:val="hybridMultilevel"/>
    <w:tmpl w:val="2230D47E"/>
    <w:lvl w:ilvl="0" w:tplc="1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5B924D7"/>
    <w:multiLevelType w:val="hybridMultilevel"/>
    <w:tmpl w:val="74964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B74206"/>
    <w:multiLevelType w:val="hybridMultilevel"/>
    <w:tmpl w:val="27DEB4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81242"/>
    <w:multiLevelType w:val="hybridMultilevel"/>
    <w:tmpl w:val="4DE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15749"/>
    <w:rsid w:val="00032D81"/>
    <w:rsid w:val="00092A19"/>
    <w:rsid w:val="0009669B"/>
    <w:rsid w:val="000A3B21"/>
    <w:rsid w:val="000D32B1"/>
    <w:rsid w:val="000E1320"/>
    <w:rsid w:val="00104A90"/>
    <w:rsid w:val="001069C4"/>
    <w:rsid w:val="001076A2"/>
    <w:rsid w:val="00122850"/>
    <w:rsid w:val="001611FB"/>
    <w:rsid w:val="0017464E"/>
    <w:rsid w:val="0018209D"/>
    <w:rsid w:val="00191F47"/>
    <w:rsid w:val="001B4208"/>
    <w:rsid w:val="001C617B"/>
    <w:rsid w:val="001F3F8B"/>
    <w:rsid w:val="00277406"/>
    <w:rsid w:val="002863C6"/>
    <w:rsid w:val="002A4E78"/>
    <w:rsid w:val="002B19D5"/>
    <w:rsid w:val="002C74D0"/>
    <w:rsid w:val="002F75FA"/>
    <w:rsid w:val="00310DF7"/>
    <w:rsid w:val="0031710C"/>
    <w:rsid w:val="003308FF"/>
    <w:rsid w:val="00346086"/>
    <w:rsid w:val="00350F77"/>
    <w:rsid w:val="003569EF"/>
    <w:rsid w:val="00361BA4"/>
    <w:rsid w:val="003845AA"/>
    <w:rsid w:val="00402A87"/>
    <w:rsid w:val="00412047"/>
    <w:rsid w:val="00443BEB"/>
    <w:rsid w:val="0044622A"/>
    <w:rsid w:val="00466323"/>
    <w:rsid w:val="00472D56"/>
    <w:rsid w:val="00480E3D"/>
    <w:rsid w:val="004B6288"/>
    <w:rsid w:val="004D3992"/>
    <w:rsid w:val="004F0BAB"/>
    <w:rsid w:val="005110A4"/>
    <w:rsid w:val="00526888"/>
    <w:rsid w:val="00564EDC"/>
    <w:rsid w:val="0058043D"/>
    <w:rsid w:val="005841E3"/>
    <w:rsid w:val="00610CFC"/>
    <w:rsid w:val="006473FE"/>
    <w:rsid w:val="006B45EC"/>
    <w:rsid w:val="006C0D7C"/>
    <w:rsid w:val="006E671B"/>
    <w:rsid w:val="007177EB"/>
    <w:rsid w:val="00730725"/>
    <w:rsid w:val="0073230A"/>
    <w:rsid w:val="00737344"/>
    <w:rsid w:val="00744DB3"/>
    <w:rsid w:val="00773976"/>
    <w:rsid w:val="007B131D"/>
    <w:rsid w:val="008078C5"/>
    <w:rsid w:val="008731FE"/>
    <w:rsid w:val="00874B1A"/>
    <w:rsid w:val="00876898"/>
    <w:rsid w:val="00894BFC"/>
    <w:rsid w:val="008A2995"/>
    <w:rsid w:val="008C7DBB"/>
    <w:rsid w:val="008E2F47"/>
    <w:rsid w:val="008F4AF2"/>
    <w:rsid w:val="0096528C"/>
    <w:rsid w:val="00981365"/>
    <w:rsid w:val="00991033"/>
    <w:rsid w:val="009C19DB"/>
    <w:rsid w:val="009C3B52"/>
    <w:rsid w:val="009F78B2"/>
    <w:rsid w:val="00A04DAF"/>
    <w:rsid w:val="00A103C7"/>
    <w:rsid w:val="00A30124"/>
    <w:rsid w:val="00A3782B"/>
    <w:rsid w:val="00A96E6D"/>
    <w:rsid w:val="00AB4D8E"/>
    <w:rsid w:val="00AD0C48"/>
    <w:rsid w:val="00B15D2D"/>
    <w:rsid w:val="00B22C58"/>
    <w:rsid w:val="00B6148A"/>
    <w:rsid w:val="00B875C1"/>
    <w:rsid w:val="00BC71B9"/>
    <w:rsid w:val="00BD2D2D"/>
    <w:rsid w:val="00BE13C3"/>
    <w:rsid w:val="00BE15EA"/>
    <w:rsid w:val="00C21BD7"/>
    <w:rsid w:val="00C31B27"/>
    <w:rsid w:val="00C42A7E"/>
    <w:rsid w:val="00C45812"/>
    <w:rsid w:val="00C46F97"/>
    <w:rsid w:val="00C5056B"/>
    <w:rsid w:val="00C92B71"/>
    <w:rsid w:val="00CD0BEB"/>
    <w:rsid w:val="00CF7A10"/>
    <w:rsid w:val="00D32981"/>
    <w:rsid w:val="00D51A9E"/>
    <w:rsid w:val="00D6069F"/>
    <w:rsid w:val="00D648D0"/>
    <w:rsid w:val="00DB1275"/>
    <w:rsid w:val="00E17795"/>
    <w:rsid w:val="00E568AC"/>
    <w:rsid w:val="00EA3CE6"/>
    <w:rsid w:val="00EA4618"/>
    <w:rsid w:val="00EB130C"/>
    <w:rsid w:val="00EB7558"/>
    <w:rsid w:val="00EC025A"/>
    <w:rsid w:val="00ED491A"/>
    <w:rsid w:val="00EE47D0"/>
    <w:rsid w:val="00F23C31"/>
    <w:rsid w:val="00F24EEC"/>
    <w:rsid w:val="00FA633D"/>
    <w:rsid w:val="00FB60B6"/>
    <w:rsid w:val="00FC492C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AC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D0C48"/>
    <w:pPr>
      <w:spacing w:after="160" w:line="259" w:lineRule="auto"/>
      <w:ind w:left="720"/>
      <w:contextualSpacing/>
    </w:pPr>
    <w:rPr>
      <w:rFonts w:ascii="Calibri" w:eastAsia="Calibri" w:hAnsi="Calibri"/>
      <w:lang w:val="en-GB"/>
    </w:rPr>
  </w:style>
  <w:style w:type="character" w:styleId="BookTitle">
    <w:name w:val="Book Title"/>
    <w:uiPriority w:val="33"/>
    <w:qFormat/>
    <w:rsid w:val="008F4AF2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87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2023-06-21T13:59:00Z</cp:lastPrinted>
  <dcterms:created xsi:type="dcterms:W3CDTF">2023-07-04T09:22:00Z</dcterms:created>
  <dcterms:modified xsi:type="dcterms:W3CDTF">2023-07-04T09:22:00Z</dcterms:modified>
</cp:coreProperties>
</file>