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C00A" w14:textId="77777777" w:rsidR="00C23E63" w:rsidRDefault="00C23E63" w:rsidP="008E1A90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>
        <w:rPr>
          <w:rFonts w:ascii="Arial" w:eastAsia="Calibri" w:hAnsi="Arial" w:cs="Arial"/>
          <w:b/>
          <w:lang w:val="en-ZA"/>
        </w:rPr>
        <w:t>ational Assembly</w:t>
      </w:r>
    </w:p>
    <w:p w14:paraId="310209E3" w14:textId="77777777" w:rsidR="00C23E63" w:rsidRDefault="00C23E63" w:rsidP="008E1A90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Question Number: 178</w:t>
      </w:r>
    </w:p>
    <w:p w14:paraId="36422388" w14:textId="404E2B31" w:rsidR="00C23E63" w:rsidRPr="005C41B0" w:rsidRDefault="00C23E63" w:rsidP="008E1A90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5C41B0">
        <w:rPr>
          <w:rFonts w:ascii="Arial" w:hAnsi="Arial" w:cs="Arial"/>
          <w:b/>
          <w:noProof/>
          <w:lang w:val="af-ZA"/>
        </w:rPr>
        <w:t>Mr M S F de Freitas (DA) to ask the Minister of Transport:</w:t>
      </w:r>
    </w:p>
    <w:p w14:paraId="36CF0D0C" w14:textId="77777777" w:rsidR="008E1A90" w:rsidRDefault="00C23E63" w:rsidP="008E1A90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noProof/>
          <w:lang w:val="af-ZA"/>
        </w:rPr>
      </w:pPr>
      <w:r w:rsidRPr="005C41B0">
        <w:rPr>
          <w:rFonts w:ascii="Arial" w:hAnsi="Arial" w:cs="Arial"/>
        </w:rPr>
        <w:t xml:space="preserve">With reference to his reply to question 1635 on 12 June 2018, what </w:t>
      </w:r>
      <w:r w:rsidRPr="005C41B0">
        <w:rPr>
          <w:rFonts w:ascii="Arial" w:hAnsi="Arial" w:cs="Arial"/>
          <w:lang w:val="en-GB"/>
        </w:rPr>
        <w:t>(a) amount was paid out by the Passenger Rail Agency of South Africa (</w:t>
      </w:r>
      <w:proofErr w:type="spellStart"/>
      <w:r w:rsidRPr="005C41B0">
        <w:rPr>
          <w:rFonts w:ascii="Arial" w:hAnsi="Arial" w:cs="Arial"/>
          <w:lang w:val="en-GB"/>
        </w:rPr>
        <w:t>Prasa</w:t>
      </w:r>
      <w:proofErr w:type="spellEnd"/>
      <w:r w:rsidRPr="005C41B0">
        <w:rPr>
          <w:rFonts w:ascii="Arial" w:hAnsi="Arial" w:cs="Arial"/>
          <w:lang w:val="en-GB"/>
        </w:rPr>
        <w:t xml:space="preserve">) to victims of train </w:t>
      </w:r>
      <w:r w:rsidRPr="005C41B0">
        <w:rPr>
          <w:rFonts w:ascii="Arial" w:eastAsia="Calibri" w:hAnsi="Arial" w:cs="Arial"/>
        </w:rPr>
        <w:t>crashes</w:t>
      </w:r>
      <w:r w:rsidRPr="005C41B0">
        <w:rPr>
          <w:rFonts w:ascii="Arial" w:hAnsi="Arial" w:cs="Arial"/>
          <w:lang w:val="en-GB"/>
        </w:rPr>
        <w:t xml:space="preserve"> since 1 June 2018, (b) number of persons were (</w:t>
      </w:r>
      <w:proofErr w:type="spellStart"/>
      <w:r w:rsidRPr="005C41B0">
        <w:rPr>
          <w:rFonts w:ascii="Arial" w:hAnsi="Arial" w:cs="Arial"/>
          <w:lang w:val="en-GB"/>
        </w:rPr>
        <w:t>i</w:t>
      </w:r>
      <w:proofErr w:type="spellEnd"/>
      <w:r w:rsidRPr="005C41B0">
        <w:rPr>
          <w:rFonts w:ascii="Arial" w:hAnsi="Arial" w:cs="Arial"/>
          <w:lang w:val="en-GB"/>
        </w:rPr>
        <w:t xml:space="preserve">) killed and (ii) injured in </w:t>
      </w:r>
      <w:proofErr w:type="spellStart"/>
      <w:r w:rsidRPr="005C41B0">
        <w:rPr>
          <w:rFonts w:ascii="Arial" w:hAnsi="Arial" w:cs="Arial"/>
          <w:lang w:val="en-GB"/>
        </w:rPr>
        <w:t>Prasa</w:t>
      </w:r>
      <w:proofErr w:type="spellEnd"/>
      <w:r w:rsidRPr="005C41B0">
        <w:rPr>
          <w:rFonts w:ascii="Arial" w:hAnsi="Arial" w:cs="Arial"/>
          <w:lang w:val="en-GB"/>
        </w:rPr>
        <w:t>-related crashes in the specified time period and (c)(</w:t>
      </w:r>
      <w:proofErr w:type="spellStart"/>
      <w:r w:rsidRPr="005C41B0">
        <w:rPr>
          <w:rFonts w:ascii="Arial" w:hAnsi="Arial" w:cs="Arial"/>
          <w:lang w:val="en-GB"/>
        </w:rPr>
        <w:t>i</w:t>
      </w:r>
      <w:proofErr w:type="spellEnd"/>
      <w:r w:rsidRPr="005C41B0">
        <w:rPr>
          <w:rFonts w:ascii="Arial" w:hAnsi="Arial" w:cs="Arial"/>
          <w:lang w:val="en-GB"/>
        </w:rPr>
        <w:t xml:space="preserve">) has he found to be the main causes of accidental deaths and injuries on the </w:t>
      </w:r>
      <w:proofErr w:type="spellStart"/>
      <w:r w:rsidRPr="005C41B0">
        <w:rPr>
          <w:rFonts w:ascii="Arial" w:hAnsi="Arial" w:cs="Arial"/>
          <w:lang w:val="en-GB"/>
        </w:rPr>
        <w:t>Prasa</w:t>
      </w:r>
      <w:proofErr w:type="spellEnd"/>
      <w:r w:rsidRPr="005C41B0">
        <w:rPr>
          <w:rFonts w:ascii="Arial" w:hAnsi="Arial" w:cs="Arial"/>
          <w:lang w:val="en-GB"/>
        </w:rPr>
        <w:t xml:space="preserve"> network, (ii) steps has his department taken to rectify the situation and (iii) are the deadlines, milestones, time frames and time lines in this regard</w:t>
      </w:r>
      <w:r w:rsidRPr="005C41B0">
        <w:rPr>
          <w:rFonts w:ascii="Arial" w:hAnsi="Arial" w:cs="Arial"/>
          <w:noProof/>
          <w:lang w:val="af-ZA"/>
        </w:rPr>
        <w:t>?</w:t>
      </w:r>
      <w:r w:rsidRPr="005C41B0">
        <w:rPr>
          <w:rFonts w:ascii="Arial" w:hAnsi="Arial" w:cs="Arial"/>
          <w:noProof/>
          <w:lang w:val="af-ZA"/>
        </w:rPr>
        <w:tab/>
      </w:r>
      <w:r w:rsidRPr="005C41B0">
        <w:rPr>
          <w:rFonts w:ascii="Arial" w:hAnsi="Arial" w:cs="Arial"/>
          <w:noProof/>
          <w:lang w:val="af-ZA"/>
        </w:rPr>
        <w:tab/>
      </w:r>
      <w:r w:rsidRPr="005C41B0">
        <w:rPr>
          <w:rFonts w:ascii="Arial" w:hAnsi="Arial" w:cs="Arial"/>
          <w:noProof/>
          <w:lang w:val="af-ZA"/>
        </w:rPr>
        <w:tab/>
      </w:r>
      <w:r w:rsidRPr="005C41B0">
        <w:rPr>
          <w:rFonts w:ascii="Arial" w:hAnsi="Arial" w:cs="Arial"/>
          <w:noProof/>
          <w:lang w:val="af-ZA"/>
        </w:rPr>
        <w:tab/>
      </w:r>
      <w:r w:rsidRPr="005C41B0">
        <w:rPr>
          <w:rFonts w:ascii="Arial" w:hAnsi="Arial" w:cs="Arial"/>
          <w:noProof/>
          <w:lang w:val="af-ZA"/>
        </w:rPr>
        <w:tab/>
      </w:r>
      <w:r w:rsidRPr="005C41B0">
        <w:rPr>
          <w:rFonts w:ascii="Arial" w:hAnsi="Arial" w:cs="Arial"/>
          <w:noProof/>
          <w:lang w:val="af-ZA"/>
        </w:rPr>
        <w:tab/>
      </w:r>
    </w:p>
    <w:p w14:paraId="2259D89F" w14:textId="11DBC2DB" w:rsidR="00C23E63" w:rsidRPr="008E1A90" w:rsidRDefault="00C23E63" w:rsidP="008E1A90">
      <w:pPr>
        <w:spacing w:before="100" w:beforeAutospacing="1" w:after="100" w:afterAutospacing="1" w:line="360" w:lineRule="auto"/>
        <w:ind w:left="79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8E1A90">
        <w:rPr>
          <w:rFonts w:ascii="Arial" w:hAnsi="Arial" w:cs="Arial"/>
          <w:b/>
          <w:noProof/>
          <w:lang w:val="af-ZA"/>
        </w:rPr>
        <w:t>NW188E</w:t>
      </w:r>
    </w:p>
    <w:p w14:paraId="6BD818C9" w14:textId="1A659D48" w:rsidR="00C23E63" w:rsidRPr="00882A50" w:rsidRDefault="00C23E63" w:rsidP="008E1A90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noProof/>
          <w:lang w:val="af-ZA"/>
        </w:rPr>
      </w:pPr>
      <w:r>
        <w:rPr>
          <w:rFonts w:ascii="Arial" w:hAnsi="Arial" w:cs="Arial"/>
          <w:b/>
          <w:noProof/>
          <w:lang w:val="af-ZA"/>
        </w:rPr>
        <w:t>R</w:t>
      </w:r>
      <w:r w:rsidR="008E1A90">
        <w:rPr>
          <w:rFonts w:ascii="Arial" w:hAnsi="Arial" w:cs="Arial"/>
          <w:b/>
          <w:noProof/>
          <w:lang w:val="af-ZA"/>
        </w:rPr>
        <w:t>EPLY</w:t>
      </w:r>
      <w:r>
        <w:rPr>
          <w:rFonts w:ascii="Arial" w:hAnsi="Arial" w:cs="Arial"/>
          <w:b/>
          <w:noProof/>
          <w:lang w:val="af-ZA"/>
        </w:rPr>
        <w:t>:</w:t>
      </w:r>
    </w:p>
    <w:p w14:paraId="5C3BCCBB" w14:textId="77777777" w:rsidR="00C23E63" w:rsidRPr="00475174" w:rsidRDefault="00C23E63" w:rsidP="008E1A90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475174">
        <w:rPr>
          <w:rFonts w:ascii="Arial" w:eastAsia="Calibri" w:hAnsi="Arial" w:cs="Arial"/>
          <w:lang w:val="en-ZA"/>
        </w:rPr>
        <w:t>(a)</w:t>
      </w:r>
      <w:r>
        <w:rPr>
          <w:rFonts w:ascii="Arial" w:eastAsia="Calibri" w:hAnsi="Arial" w:cs="Arial"/>
          <w:lang w:val="en-ZA"/>
        </w:rPr>
        <w:tab/>
      </w:r>
      <w:r w:rsidRPr="00475174">
        <w:rPr>
          <w:rFonts w:ascii="Arial" w:eastAsia="Calibri" w:hAnsi="Arial" w:cs="Arial"/>
          <w:lang w:val="en-ZA"/>
        </w:rPr>
        <w:t>R</w:t>
      </w:r>
      <w:r>
        <w:rPr>
          <w:rFonts w:ascii="Arial" w:eastAsia="Calibri" w:hAnsi="Arial" w:cs="Arial"/>
          <w:lang w:val="en-ZA"/>
        </w:rPr>
        <w:t>435,6</w:t>
      </w:r>
      <w:r w:rsidRPr="00475174">
        <w:rPr>
          <w:rFonts w:ascii="Arial" w:eastAsia="Calibri" w:hAnsi="Arial" w:cs="Arial"/>
          <w:lang w:val="en-ZA"/>
        </w:rPr>
        <w:t>00</w:t>
      </w:r>
      <w:r>
        <w:rPr>
          <w:rFonts w:ascii="Arial" w:eastAsia="Calibri" w:hAnsi="Arial" w:cs="Arial"/>
          <w:lang w:val="en-ZA"/>
        </w:rPr>
        <w:t>-</w:t>
      </w:r>
      <w:r w:rsidRPr="00475174">
        <w:rPr>
          <w:rFonts w:ascii="Arial" w:eastAsia="Calibri" w:hAnsi="Arial" w:cs="Arial"/>
          <w:lang w:val="en-ZA"/>
        </w:rPr>
        <w:t>00</w:t>
      </w:r>
      <w:r>
        <w:rPr>
          <w:rFonts w:ascii="Arial" w:eastAsia="Calibri" w:hAnsi="Arial" w:cs="Arial"/>
          <w:lang w:val="en-ZA"/>
        </w:rPr>
        <w:t xml:space="preserve"> was paid out by PRASA to victims of train crashes since 1 June 2018.</w:t>
      </w:r>
    </w:p>
    <w:p w14:paraId="7D2A098E" w14:textId="77777777" w:rsidR="00C23E63" w:rsidRPr="00882A50" w:rsidRDefault="00C23E63" w:rsidP="008E1A90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lang w:val="en-ZA"/>
        </w:rPr>
      </w:pPr>
      <w:r w:rsidRPr="00882A50">
        <w:rPr>
          <w:rFonts w:ascii="Arial" w:eastAsia="Calibri" w:hAnsi="Arial" w:cs="Arial"/>
          <w:lang w:val="en-ZA"/>
        </w:rPr>
        <w:t>(b)</w:t>
      </w:r>
      <w:r w:rsidRPr="00882A50">
        <w:rPr>
          <w:rFonts w:ascii="Arial" w:eastAsia="Calibri" w:hAnsi="Arial" w:cs="Arial"/>
          <w:lang w:val="en-ZA"/>
        </w:rPr>
        <w:tab/>
        <w:t>Train Crashes since 1 June 2018 to date (Open Line Collisions and Collisions with Motor Vehicles)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44"/>
        <w:gridCol w:w="3314"/>
        <w:gridCol w:w="3118"/>
      </w:tblGrid>
      <w:tr w:rsidR="00C23E63" w:rsidRPr="00882A50" w14:paraId="1402855F" w14:textId="77777777" w:rsidTr="008E1A90">
        <w:tc>
          <w:tcPr>
            <w:tcW w:w="9776" w:type="dxa"/>
            <w:gridSpan w:val="3"/>
            <w:shd w:val="clear" w:color="auto" w:fill="7F7F7F" w:themeFill="text1" w:themeFillTint="80"/>
            <w:vAlign w:val="bottom"/>
          </w:tcPr>
          <w:p w14:paraId="50BD94CE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 w:rsidRPr="00882A50">
              <w:rPr>
                <w:rFonts w:ascii="Arial" w:eastAsia="Calibri" w:hAnsi="Arial" w:cs="Arial"/>
                <w:b/>
                <w:lang w:val="en-ZA"/>
              </w:rPr>
              <w:t>Open Line Collision</w:t>
            </w:r>
          </w:p>
        </w:tc>
      </w:tr>
      <w:tr w:rsidR="00C23E63" w:rsidRPr="00882A50" w14:paraId="1B8749BE" w14:textId="77777777" w:rsidTr="008E1A90">
        <w:tc>
          <w:tcPr>
            <w:tcW w:w="3344" w:type="dxa"/>
            <w:shd w:val="clear" w:color="auto" w:fill="BFBFBF" w:themeFill="background1" w:themeFillShade="BF"/>
          </w:tcPr>
          <w:p w14:paraId="3FC33B85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 w:rsidRPr="00882A50">
              <w:rPr>
                <w:rFonts w:ascii="Arial" w:eastAsia="Calibri" w:hAnsi="Arial" w:cs="Arial"/>
                <w:b/>
                <w:lang w:val="en-ZA"/>
              </w:rPr>
              <w:t>Date</w:t>
            </w:r>
          </w:p>
        </w:tc>
        <w:tc>
          <w:tcPr>
            <w:tcW w:w="3314" w:type="dxa"/>
            <w:shd w:val="clear" w:color="auto" w:fill="BFBFBF" w:themeFill="background1" w:themeFillShade="BF"/>
          </w:tcPr>
          <w:p w14:paraId="3FCF2506" w14:textId="77777777" w:rsidR="00C23E63" w:rsidRPr="00882A50" w:rsidRDefault="00C23E63" w:rsidP="00840D8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 w:rsidRPr="00882A50">
              <w:rPr>
                <w:rFonts w:ascii="Arial" w:eastAsia="Calibri" w:hAnsi="Arial" w:cs="Arial"/>
                <w:b/>
                <w:lang w:val="en-ZA"/>
              </w:rPr>
              <w:t>Injuries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08CC2A81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 w:rsidRPr="00882A50">
              <w:rPr>
                <w:rFonts w:ascii="Arial" w:eastAsia="Calibri" w:hAnsi="Arial" w:cs="Arial"/>
                <w:b/>
                <w:lang w:val="en-ZA"/>
              </w:rPr>
              <w:t>(ii) Fatalities</w:t>
            </w:r>
          </w:p>
        </w:tc>
      </w:tr>
      <w:tr w:rsidR="00C23E63" w:rsidRPr="00882A50" w14:paraId="720A45C5" w14:textId="77777777" w:rsidTr="008E1A90">
        <w:tc>
          <w:tcPr>
            <w:tcW w:w="3344" w:type="dxa"/>
          </w:tcPr>
          <w:p w14:paraId="3024BE50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June 2018</w:t>
            </w:r>
          </w:p>
        </w:tc>
        <w:tc>
          <w:tcPr>
            <w:tcW w:w="3314" w:type="dxa"/>
          </w:tcPr>
          <w:p w14:paraId="0CA5D710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0</w:t>
            </w:r>
          </w:p>
        </w:tc>
        <w:tc>
          <w:tcPr>
            <w:tcW w:w="3118" w:type="dxa"/>
          </w:tcPr>
          <w:p w14:paraId="513825AD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0</w:t>
            </w:r>
          </w:p>
        </w:tc>
      </w:tr>
      <w:tr w:rsidR="00C23E63" w:rsidRPr="00882A50" w14:paraId="5FBE9289" w14:textId="77777777" w:rsidTr="008E1A90">
        <w:tc>
          <w:tcPr>
            <w:tcW w:w="3344" w:type="dxa"/>
          </w:tcPr>
          <w:p w14:paraId="0F23944D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July 2018</w:t>
            </w:r>
          </w:p>
        </w:tc>
        <w:tc>
          <w:tcPr>
            <w:tcW w:w="3314" w:type="dxa"/>
          </w:tcPr>
          <w:p w14:paraId="62FCF9A7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0</w:t>
            </w:r>
          </w:p>
        </w:tc>
        <w:tc>
          <w:tcPr>
            <w:tcW w:w="3118" w:type="dxa"/>
          </w:tcPr>
          <w:p w14:paraId="1E0277E7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0</w:t>
            </w:r>
          </w:p>
        </w:tc>
      </w:tr>
      <w:tr w:rsidR="00C23E63" w:rsidRPr="00882A50" w14:paraId="4C068C69" w14:textId="77777777" w:rsidTr="008E1A90">
        <w:tc>
          <w:tcPr>
            <w:tcW w:w="3344" w:type="dxa"/>
          </w:tcPr>
          <w:p w14:paraId="2D0885C3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August 2018</w:t>
            </w:r>
          </w:p>
        </w:tc>
        <w:tc>
          <w:tcPr>
            <w:tcW w:w="3314" w:type="dxa"/>
          </w:tcPr>
          <w:p w14:paraId="3B004436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0</w:t>
            </w:r>
          </w:p>
        </w:tc>
        <w:tc>
          <w:tcPr>
            <w:tcW w:w="3118" w:type="dxa"/>
          </w:tcPr>
          <w:p w14:paraId="14459234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0</w:t>
            </w:r>
          </w:p>
        </w:tc>
      </w:tr>
      <w:tr w:rsidR="00C23E63" w:rsidRPr="00882A50" w14:paraId="4334E35E" w14:textId="77777777" w:rsidTr="008E1A90">
        <w:tc>
          <w:tcPr>
            <w:tcW w:w="3344" w:type="dxa"/>
          </w:tcPr>
          <w:p w14:paraId="324588D6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September 2018</w:t>
            </w:r>
          </w:p>
        </w:tc>
        <w:tc>
          <w:tcPr>
            <w:tcW w:w="3314" w:type="dxa"/>
          </w:tcPr>
          <w:p w14:paraId="309F5AC7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112</w:t>
            </w:r>
          </w:p>
        </w:tc>
        <w:tc>
          <w:tcPr>
            <w:tcW w:w="3118" w:type="dxa"/>
          </w:tcPr>
          <w:p w14:paraId="6C6A4062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0</w:t>
            </w:r>
          </w:p>
        </w:tc>
      </w:tr>
      <w:tr w:rsidR="00C23E63" w:rsidRPr="00882A50" w14:paraId="32C8A0D4" w14:textId="77777777" w:rsidTr="008E1A90">
        <w:tc>
          <w:tcPr>
            <w:tcW w:w="3344" w:type="dxa"/>
          </w:tcPr>
          <w:p w14:paraId="5F03590D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October 2018</w:t>
            </w:r>
          </w:p>
        </w:tc>
        <w:tc>
          <w:tcPr>
            <w:tcW w:w="3314" w:type="dxa"/>
          </w:tcPr>
          <w:p w14:paraId="1E7C21A4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320</w:t>
            </w:r>
          </w:p>
        </w:tc>
        <w:tc>
          <w:tcPr>
            <w:tcW w:w="3118" w:type="dxa"/>
          </w:tcPr>
          <w:p w14:paraId="1B2342DC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0</w:t>
            </w:r>
          </w:p>
        </w:tc>
      </w:tr>
      <w:tr w:rsidR="00C23E63" w:rsidRPr="00882A50" w14:paraId="2C1C0F8A" w14:textId="77777777" w:rsidTr="008E1A90">
        <w:tc>
          <w:tcPr>
            <w:tcW w:w="3344" w:type="dxa"/>
          </w:tcPr>
          <w:p w14:paraId="55CEB39D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November 2018</w:t>
            </w:r>
          </w:p>
        </w:tc>
        <w:tc>
          <w:tcPr>
            <w:tcW w:w="3314" w:type="dxa"/>
          </w:tcPr>
          <w:p w14:paraId="75CD7CA0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0</w:t>
            </w:r>
          </w:p>
        </w:tc>
        <w:tc>
          <w:tcPr>
            <w:tcW w:w="3118" w:type="dxa"/>
          </w:tcPr>
          <w:p w14:paraId="67330A39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0</w:t>
            </w:r>
          </w:p>
        </w:tc>
      </w:tr>
      <w:tr w:rsidR="00C23E63" w:rsidRPr="00882A50" w14:paraId="3CBCEF46" w14:textId="77777777" w:rsidTr="008E1A90">
        <w:tc>
          <w:tcPr>
            <w:tcW w:w="3344" w:type="dxa"/>
          </w:tcPr>
          <w:p w14:paraId="4B8CEB03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December 2018</w:t>
            </w:r>
          </w:p>
        </w:tc>
        <w:tc>
          <w:tcPr>
            <w:tcW w:w="3314" w:type="dxa"/>
          </w:tcPr>
          <w:p w14:paraId="7820AFAC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0</w:t>
            </w:r>
          </w:p>
        </w:tc>
        <w:tc>
          <w:tcPr>
            <w:tcW w:w="3118" w:type="dxa"/>
          </w:tcPr>
          <w:p w14:paraId="190054AB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0</w:t>
            </w:r>
          </w:p>
        </w:tc>
      </w:tr>
      <w:tr w:rsidR="00C23E63" w:rsidRPr="00882A50" w14:paraId="7768BA35" w14:textId="77777777" w:rsidTr="008E1A90">
        <w:tc>
          <w:tcPr>
            <w:tcW w:w="3344" w:type="dxa"/>
          </w:tcPr>
          <w:p w14:paraId="37343163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January 2019</w:t>
            </w:r>
          </w:p>
        </w:tc>
        <w:tc>
          <w:tcPr>
            <w:tcW w:w="3314" w:type="dxa"/>
          </w:tcPr>
          <w:p w14:paraId="68577E73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817</w:t>
            </w:r>
          </w:p>
        </w:tc>
        <w:tc>
          <w:tcPr>
            <w:tcW w:w="3118" w:type="dxa"/>
          </w:tcPr>
          <w:p w14:paraId="7F9AF9A9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3</w:t>
            </w:r>
          </w:p>
        </w:tc>
      </w:tr>
      <w:tr w:rsidR="00C23E63" w:rsidRPr="00882A50" w14:paraId="7626D5DA" w14:textId="77777777" w:rsidTr="008E1A90">
        <w:tc>
          <w:tcPr>
            <w:tcW w:w="3344" w:type="dxa"/>
          </w:tcPr>
          <w:p w14:paraId="07BC802A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 w:rsidRPr="00882A50">
              <w:rPr>
                <w:rFonts w:ascii="Arial" w:eastAsia="Calibri" w:hAnsi="Arial" w:cs="Arial"/>
                <w:b/>
                <w:lang w:val="en-ZA"/>
              </w:rPr>
              <w:t>TOTAL</w:t>
            </w:r>
          </w:p>
        </w:tc>
        <w:tc>
          <w:tcPr>
            <w:tcW w:w="3314" w:type="dxa"/>
          </w:tcPr>
          <w:p w14:paraId="658D76F0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 w:rsidRPr="00882A50">
              <w:rPr>
                <w:rFonts w:ascii="Arial" w:eastAsia="Calibri" w:hAnsi="Arial" w:cs="Arial"/>
                <w:b/>
                <w:lang w:val="en-ZA"/>
              </w:rPr>
              <w:t>1</w:t>
            </w:r>
            <w:r>
              <w:rPr>
                <w:rFonts w:ascii="Arial" w:eastAsia="Calibri" w:hAnsi="Arial" w:cs="Arial"/>
                <w:b/>
                <w:lang w:val="en-ZA"/>
              </w:rPr>
              <w:t>,</w:t>
            </w:r>
            <w:r w:rsidRPr="00882A50">
              <w:rPr>
                <w:rFonts w:ascii="Arial" w:eastAsia="Calibri" w:hAnsi="Arial" w:cs="Arial"/>
                <w:b/>
                <w:lang w:val="en-ZA"/>
              </w:rPr>
              <w:t>249</w:t>
            </w:r>
          </w:p>
        </w:tc>
        <w:tc>
          <w:tcPr>
            <w:tcW w:w="3118" w:type="dxa"/>
          </w:tcPr>
          <w:p w14:paraId="7F18D16A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 w:rsidRPr="00882A50">
              <w:rPr>
                <w:rFonts w:ascii="Arial" w:eastAsia="Calibri" w:hAnsi="Arial" w:cs="Arial"/>
                <w:b/>
                <w:lang w:val="en-ZA"/>
              </w:rPr>
              <w:t>3</w:t>
            </w:r>
          </w:p>
        </w:tc>
      </w:tr>
    </w:tbl>
    <w:p w14:paraId="4AE70042" w14:textId="77777777" w:rsidR="00C23E63" w:rsidRDefault="00C23E63" w:rsidP="00C23E63">
      <w:pPr>
        <w:tabs>
          <w:tab w:val="left" w:pos="567"/>
          <w:tab w:val="left" w:pos="1134"/>
        </w:tabs>
        <w:spacing w:after="0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1B01CBC1" w14:textId="77777777" w:rsidR="00C23E63" w:rsidRDefault="00C23E63" w:rsidP="008E1A90">
      <w:pPr>
        <w:tabs>
          <w:tab w:val="left" w:pos="567"/>
          <w:tab w:val="left" w:pos="1134"/>
        </w:tabs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lastRenderedPageBreak/>
        <w:t>(c)</w:t>
      </w:r>
      <w:r>
        <w:rPr>
          <w:rFonts w:ascii="Arial" w:eastAsia="Calibri" w:hAnsi="Arial" w:cs="Arial"/>
          <w:lang w:val="en-ZA"/>
        </w:rPr>
        <w:tab/>
        <w:t>(</w:t>
      </w:r>
      <w:proofErr w:type="spellStart"/>
      <w:r>
        <w:rPr>
          <w:rFonts w:ascii="Arial" w:eastAsia="Calibri" w:hAnsi="Arial" w:cs="Arial"/>
          <w:lang w:val="en-ZA"/>
        </w:rPr>
        <w:t>i</w:t>
      </w:r>
      <w:proofErr w:type="spellEnd"/>
      <w:r>
        <w:rPr>
          <w:rFonts w:ascii="Arial" w:eastAsia="Calibri" w:hAnsi="Arial" w:cs="Arial"/>
          <w:lang w:val="en-ZA"/>
        </w:rPr>
        <w:t>)</w:t>
      </w:r>
      <w:r>
        <w:rPr>
          <w:rFonts w:ascii="Arial" w:eastAsia="Calibri" w:hAnsi="Arial" w:cs="Arial"/>
          <w:lang w:val="en-ZA"/>
        </w:rPr>
        <w:tab/>
        <w:t>Main causes of accidental deaths and injuries are collisions due to:</w:t>
      </w:r>
    </w:p>
    <w:p w14:paraId="2EF2748B" w14:textId="77777777" w:rsidR="00C23E63" w:rsidRDefault="00C23E63" w:rsidP="00840D8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1701" w:hanging="567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Human error</w:t>
      </w:r>
    </w:p>
    <w:p w14:paraId="266DD2A3" w14:textId="16364072" w:rsidR="00C23E63" w:rsidRDefault="00C23E63" w:rsidP="00840D8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1701" w:hanging="567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Signal failures </w:t>
      </w:r>
      <w:r w:rsidR="008E1A90">
        <w:rPr>
          <w:rFonts w:ascii="Arial" w:eastAsia="Calibri" w:hAnsi="Arial" w:cs="Arial"/>
          <w:lang w:val="en-ZA"/>
        </w:rPr>
        <w:t>because of</w:t>
      </w:r>
      <w:r>
        <w:rPr>
          <w:rFonts w:ascii="Arial" w:eastAsia="Calibri" w:hAnsi="Arial" w:cs="Arial"/>
          <w:lang w:val="en-ZA"/>
        </w:rPr>
        <w:t xml:space="preserve"> theft and malicious damage to property</w:t>
      </w:r>
    </w:p>
    <w:p w14:paraId="5E367E65" w14:textId="77777777" w:rsidR="00C23E63" w:rsidRDefault="00C23E63" w:rsidP="00840D8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1701" w:hanging="567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Poor supervision due to shortage of Section Managers</w:t>
      </w:r>
    </w:p>
    <w:p w14:paraId="6B9BD7F5" w14:textId="77777777" w:rsidR="00C23E63" w:rsidRPr="00882A50" w:rsidRDefault="00C23E63" w:rsidP="008E1A90">
      <w:pPr>
        <w:tabs>
          <w:tab w:val="left" w:pos="567"/>
          <w:tab w:val="left" w:pos="1134"/>
        </w:tabs>
        <w:spacing w:after="0" w:line="360" w:lineRule="auto"/>
        <w:ind w:left="1134"/>
        <w:jc w:val="both"/>
        <w:outlineLvl w:val="0"/>
        <w:rPr>
          <w:rFonts w:ascii="Arial" w:eastAsia="Calibri" w:hAnsi="Arial" w:cs="Arial"/>
          <w:lang w:val="en-ZA"/>
        </w:rPr>
      </w:pPr>
    </w:p>
    <w:p w14:paraId="54B8C817" w14:textId="77777777" w:rsidR="00C23E63" w:rsidRPr="00882A50" w:rsidRDefault="00C23E63" w:rsidP="008E1A90">
      <w:pPr>
        <w:tabs>
          <w:tab w:val="left" w:pos="567"/>
          <w:tab w:val="left" w:pos="1134"/>
        </w:tabs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ab/>
        <w:t>(ii)</w:t>
      </w:r>
      <w:r w:rsidRPr="00882A50"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>See table below for steps taken to rectify the situation.</w:t>
      </w:r>
    </w:p>
    <w:p w14:paraId="4FE0FE62" w14:textId="77777777" w:rsidR="00C23E63" w:rsidRDefault="00C23E63" w:rsidP="008E1A90">
      <w:pPr>
        <w:tabs>
          <w:tab w:val="left" w:pos="567"/>
          <w:tab w:val="left" w:pos="1134"/>
        </w:tabs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2DEE33B4" w14:textId="3A530897" w:rsidR="00C23E63" w:rsidRDefault="00C23E63" w:rsidP="008E1A90">
      <w:pPr>
        <w:tabs>
          <w:tab w:val="left" w:pos="567"/>
          <w:tab w:val="left" w:pos="1134"/>
        </w:tabs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ab/>
        <w:t>(iii)</w:t>
      </w:r>
      <w:r>
        <w:rPr>
          <w:rFonts w:ascii="Arial" w:eastAsia="Calibri" w:hAnsi="Arial" w:cs="Arial"/>
          <w:lang w:val="en-ZA"/>
        </w:rPr>
        <w:tab/>
        <w:t>See table below for deadlines, milestones, time frames and timelines.</w:t>
      </w:r>
    </w:p>
    <w:p w14:paraId="26424A93" w14:textId="77777777" w:rsidR="00C23E63" w:rsidRPr="00882A50" w:rsidRDefault="00C23E63" w:rsidP="00C23E6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3209"/>
        <w:gridCol w:w="2356"/>
        <w:gridCol w:w="3369"/>
      </w:tblGrid>
      <w:tr w:rsidR="00C23E63" w:rsidRPr="00882A50" w14:paraId="1D5F0F2E" w14:textId="77777777" w:rsidTr="008E1A90">
        <w:tc>
          <w:tcPr>
            <w:tcW w:w="431" w:type="dxa"/>
            <w:shd w:val="clear" w:color="auto" w:fill="808080" w:themeFill="background1" w:themeFillShade="80"/>
          </w:tcPr>
          <w:p w14:paraId="5833AD23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b/>
                <w:lang w:val="en-ZA"/>
              </w:rPr>
            </w:pPr>
          </w:p>
        </w:tc>
        <w:tc>
          <w:tcPr>
            <w:tcW w:w="3434" w:type="dxa"/>
            <w:shd w:val="clear" w:color="auto" w:fill="808080" w:themeFill="background1" w:themeFillShade="80"/>
          </w:tcPr>
          <w:p w14:paraId="5185F958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 w:rsidRPr="00882A50">
              <w:rPr>
                <w:rFonts w:ascii="Arial" w:eastAsia="Calibri" w:hAnsi="Arial" w:cs="Arial"/>
                <w:b/>
                <w:lang w:val="en-ZA"/>
              </w:rPr>
              <w:t>(ii)</w:t>
            </w:r>
          </w:p>
          <w:p w14:paraId="1BBB98CF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 w:rsidRPr="00882A50">
              <w:rPr>
                <w:rFonts w:ascii="Arial" w:eastAsia="Calibri" w:hAnsi="Arial" w:cs="Arial"/>
                <w:b/>
                <w:lang w:val="en-ZA"/>
              </w:rPr>
              <w:t>Safety Interventions</w:t>
            </w:r>
          </w:p>
        </w:tc>
        <w:tc>
          <w:tcPr>
            <w:tcW w:w="2525" w:type="dxa"/>
            <w:shd w:val="clear" w:color="auto" w:fill="808080" w:themeFill="background1" w:themeFillShade="80"/>
          </w:tcPr>
          <w:p w14:paraId="06E21000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 w:rsidRPr="00882A50">
              <w:rPr>
                <w:rFonts w:ascii="Arial" w:eastAsia="Calibri" w:hAnsi="Arial" w:cs="Arial"/>
                <w:b/>
                <w:lang w:val="en-ZA"/>
              </w:rPr>
              <w:t>(iii)</w:t>
            </w:r>
          </w:p>
          <w:p w14:paraId="298C7877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 w:rsidRPr="00882A50">
              <w:rPr>
                <w:rFonts w:ascii="Arial" w:eastAsia="Calibri" w:hAnsi="Arial" w:cs="Arial"/>
                <w:b/>
                <w:lang w:val="en-ZA"/>
              </w:rPr>
              <w:t>Time Frames</w:t>
            </w:r>
          </w:p>
        </w:tc>
        <w:tc>
          <w:tcPr>
            <w:tcW w:w="3642" w:type="dxa"/>
            <w:shd w:val="clear" w:color="auto" w:fill="808080" w:themeFill="background1" w:themeFillShade="80"/>
          </w:tcPr>
          <w:p w14:paraId="0CF62402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b/>
                <w:lang w:val="en-ZA"/>
              </w:rPr>
            </w:pPr>
          </w:p>
          <w:p w14:paraId="59D00BBC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 w:rsidRPr="00882A50">
              <w:rPr>
                <w:rFonts w:ascii="Arial" w:eastAsia="Calibri" w:hAnsi="Arial" w:cs="Arial"/>
                <w:b/>
                <w:lang w:val="en-ZA"/>
              </w:rPr>
              <w:t>Progress</w:t>
            </w:r>
          </w:p>
        </w:tc>
      </w:tr>
      <w:tr w:rsidR="00C23E63" w:rsidRPr="00882A50" w14:paraId="1C6A6FDF" w14:textId="77777777" w:rsidTr="008E1A90">
        <w:tc>
          <w:tcPr>
            <w:tcW w:w="431" w:type="dxa"/>
          </w:tcPr>
          <w:p w14:paraId="62D6100E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1</w:t>
            </w:r>
          </w:p>
        </w:tc>
        <w:tc>
          <w:tcPr>
            <w:tcW w:w="3434" w:type="dxa"/>
          </w:tcPr>
          <w:p w14:paraId="4932D9B4" w14:textId="77777777" w:rsidR="00C23E63" w:rsidRPr="00882A50" w:rsidRDefault="00C23E63" w:rsidP="008E1A90">
            <w:pPr>
              <w:spacing w:line="360" w:lineRule="auto"/>
              <w:rPr>
                <w:rFonts w:ascii="Arial" w:hAnsi="Arial" w:cs="Arial"/>
              </w:rPr>
            </w:pPr>
            <w:r w:rsidRPr="00882A50">
              <w:rPr>
                <w:rFonts w:ascii="Arial" w:hAnsi="Arial" w:cs="Arial"/>
              </w:rPr>
              <w:t>Effective management of Human Factors.</w:t>
            </w:r>
          </w:p>
        </w:tc>
        <w:tc>
          <w:tcPr>
            <w:tcW w:w="2525" w:type="dxa"/>
          </w:tcPr>
          <w:p w14:paraId="3ED6A874" w14:textId="77777777" w:rsidR="00C23E63" w:rsidRPr="00882A50" w:rsidRDefault="00C23E63" w:rsidP="008E1A90">
            <w:pPr>
              <w:spacing w:line="360" w:lineRule="auto"/>
              <w:rPr>
                <w:rFonts w:ascii="Arial" w:hAnsi="Arial" w:cs="Arial"/>
              </w:rPr>
            </w:pPr>
            <w:r w:rsidRPr="00882A50">
              <w:rPr>
                <w:rFonts w:ascii="Arial" w:hAnsi="Arial" w:cs="Arial"/>
              </w:rPr>
              <w:t>On-going</w:t>
            </w:r>
          </w:p>
        </w:tc>
        <w:tc>
          <w:tcPr>
            <w:tcW w:w="3642" w:type="dxa"/>
          </w:tcPr>
          <w:p w14:paraId="4C0950B8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The Recruitment of a Human Factors Specialist is in progress. The position was advertised in December 2018.</w:t>
            </w:r>
          </w:p>
        </w:tc>
      </w:tr>
      <w:tr w:rsidR="00C23E63" w:rsidRPr="00882A50" w14:paraId="31253604" w14:textId="77777777" w:rsidTr="008E1A90">
        <w:tc>
          <w:tcPr>
            <w:tcW w:w="431" w:type="dxa"/>
          </w:tcPr>
          <w:p w14:paraId="3A528D5D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2</w:t>
            </w:r>
          </w:p>
        </w:tc>
        <w:tc>
          <w:tcPr>
            <w:tcW w:w="3434" w:type="dxa"/>
          </w:tcPr>
          <w:p w14:paraId="0C05E9FA" w14:textId="77777777" w:rsidR="00C23E63" w:rsidRPr="00882A50" w:rsidRDefault="00C23E63" w:rsidP="008E1A90">
            <w:pPr>
              <w:spacing w:line="360" w:lineRule="auto"/>
              <w:rPr>
                <w:rFonts w:ascii="Arial" w:hAnsi="Arial" w:cs="Arial"/>
              </w:rPr>
            </w:pPr>
            <w:r w:rsidRPr="00882A50">
              <w:rPr>
                <w:rFonts w:ascii="Arial" w:hAnsi="Arial" w:cs="Arial"/>
              </w:rPr>
              <w:t>Filling of Safety Critical vacancies</w:t>
            </w:r>
          </w:p>
        </w:tc>
        <w:tc>
          <w:tcPr>
            <w:tcW w:w="2525" w:type="dxa"/>
          </w:tcPr>
          <w:p w14:paraId="59EDD058" w14:textId="0C455029" w:rsidR="00C23E63" w:rsidRPr="00882A50" w:rsidRDefault="00C23E63" w:rsidP="008E1A90">
            <w:pPr>
              <w:spacing w:line="360" w:lineRule="auto"/>
              <w:rPr>
                <w:rFonts w:ascii="Arial" w:hAnsi="Arial" w:cs="Arial"/>
              </w:rPr>
            </w:pPr>
            <w:r w:rsidRPr="00882A50">
              <w:rPr>
                <w:rFonts w:ascii="Arial" w:hAnsi="Arial" w:cs="Arial"/>
              </w:rPr>
              <w:t xml:space="preserve">On-going </w:t>
            </w:r>
            <w:r w:rsidR="008E1A90" w:rsidRPr="00882A50">
              <w:rPr>
                <w:rFonts w:ascii="Arial" w:hAnsi="Arial" w:cs="Arial"/>
              </w:rPr>
              <w:t>(Vacancies</w:t>
            </w:r>
            <w:bookmarkStart w:id="0" w:name="_GoBack"/>
            <w:bookmarkEnd w:id="0"/>
            <w:r w:rsidRPr="00882A50">
              <w:rPr>
                <w:rFonts w:ascii="Arial" w:hAnsi="Arial" w:cs="Arial"/>
              </w:rPr>
              <w:t>)</w:t>
            </w:r>
          </w:p>
        </w:tc>
        <w:tc>
          <w:tcPr>
            <w:tcW w:w="3642" w:type="dxa"/>
          </w:tcPr>
          <w:p w14:paraId="135EA679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The process of filling the safety critical position is well underway and progressing very well in all the Regions. An amount of R33 million was set aside for this purpose.</w:t>
            </w:r>
          </w:p>
        </w:tc>
      </w:tr>
      <w:tr w:rsidR="00C23E63" w:rsidRPr="00882A50" w14:paraId="788C8174" w14:textId="77777777" w:rsidTr="008E1A90">
        <w:tc>
          <w:tcPr>
            <w:tcW w:w="431" w:type="dxa"/>
          </w:tcPr>
          <w:p w14:paraId="7B960AEC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3</w:t>
            </w:r>
          </w:p>
        </w:tc>
        <w:tc>
          <w:tcPr>
            <w:tcW w:w="3434" w:type="dxa"/>
          </w:tcPr>
          <w:p w14:paraId="462DE6E9" w14:textId="77777777" w:rsidR="00C23E63" w:rsidRPr="00882A50" w:rsidRDefault="00C23E63" w:rsidP="008E1A90">
            <w:pPr>
              <w:spacing w:line="360" w:lineRule="auto"/>
              <w:rPr>
                <w:rFonts w:ascii="Arial" w:hAnsi="Arial" w:cs="Arial"/>
              </w:rPr>
            </w:pPr>
            <w:r w:rsidRPr="00882A50">
              <w:rPr>
                <w:rFonts w:ascii="Arial" w:hAnsi="Arial" w:cs="Arial"/>
              </w:rPr>
              <w:t>Training of staff on Abnormal Working Conditions.</w:t>
            </w:r>
          </w:p>
        </w:tc>
        <w:tc>
          <w:tcPr>
            <w:tcW w:w="2525" w:type="dxa"/>
          </w:tcPr>
          <w:p w14:paraId="6A005720" w14:textId="77777777" w:rsidR="00C23E63" w:rsidRPr="00882A50" w:rsidRDefault="00C23E63" w:rsidP="008E1A90">
            <w:pPr>
              <w:spacing w:line="360" w:lineRule="auto"/>
              <w:rPr>
                <w:rFonts w:ascii="Arial" w:hAnsi="Arial" w:cs="Arial"/>
              </w:rPr>
            </w:pPr>
            <w:r w:rsidRPr="00882A50">
              <w:rPr>
                <w:rFonts w:ascii="Arial" w:hAnsi="Arial" w:cs="Arial"/>
              </w:rPr>
              <w:t>Annually</w:t>
            </w:r>
          </w:p>
        </w:tc>
        <w:tc>
          <w:tcPr>
            <w:tcW w:w="3642" w:type="dxa"/>
          </w:tcPr>
          <w:p w14:paraId="2A1B68B4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The initial training was completed in September 2018. The training is incorporated in the Refresher training manual for Safety Critical personnel within the Train Operations environment</w:t>
            </w:r>
          </w:p>
        </w:tc>
      </w:tr>
      <w:tr w:rsidR="00C23E63" w:rsidRPr="00882A50" w14:paraId="73CFB736" w14:textId="77777777" w:rsidTr="008E1A90">
        <w:tc>
          <w:tcPr>
            <w:tcW w:w="431" w:type="dxa"/>
          </w:tcPr>
          <w:p w14:paraId="414F2498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4</w:t>
            </w:r>
          </w:p>
        </w:tc>
        <w:tc>
          <w:tcPr>
            <w:tcW w:w="3434" w:type="dxa"/>
          </w:tcPr>
          <w:p w14:paraId="143BB2F6" w14:textId="77777777" w:rsidR="00C23E63" w:rsidRPr="00882A50" w:rsidRDefault="00C23E63" w:rsidP="008E1A90">
            <w:pPr>
              <w:spacing w:line="360" w:lineRule="auto"/>
              <w:rPr>
                <w:rFonts w:ascii="Arial" w:hAnsi="Arial" w:cs="Arial"/>
              </w:rPr>
            </w:pPr>
            <w:r w:rsidRPr="00882A50">
              <w:rPr>
                <w:rFonts w:ascii="Arial" w:hAnsi="Arial" w:cs="Arial"/>
              </w:rPr>
              <w:t xml:space="preserve">Implementation of alternative method of train working only </w:t>
            </w:r>
            <w:r w:rsidRPr="00882A50">
              <w:rPr>
                <w:rFonts w:ascii="Arial" w:hAnsi="Arial" w:cs="Arial"/>
              </w:rPr>
              <w:lastRenderedPageBreak/>
              <w:t>authorized by Section Managers.</w:t>
            </w:r>
          </w:p>
        </w:tc>
        <w:tc>
          <w:tcPr>
            <w:tcW w:w="2525" w:type="dxa"/>
          </w:tcPr>
          <w:p w14:paraId="514D55BE" w14:textId="77777777" w:rsidR="00C23E63" w:rsidRPr="00882A50" w:rsidRDefault="00C23E63" w:rsidP="008E1A90">
            <w:pPr>
              <w:spacing w:line="360" w:lineRule="auto"/>
              <w:rPr>
                <w:rFonts w:ascii="Arial" w:hAnsi="Arial" w:cs="Arial"/>
              </w:rPr>
            </w:pPr>
            <w:r w:rsidRPr="00882A50">
              <w:rPr>
                <w:rFonts w:ascii="Arial" w:hAnsi="Arial" w:cs="Arial"/>
              </w:rPr>
              <w:lastRenderedPageBreak/>
              <w:t xml:space="preserve">Implemented in March 2018 and </w:t>
            </w:r>
            <w:r>
              <w:rPr>
                <w:rFonts w:ascii="Arial" w:hAnsi="Arial" w:cs="Arial"/>
              </w:rPr>
              <w:t>o</w:t>
            </w:r>
            <w:r w:rsidRPr="00882A50">
              <w:rPr>
                <w:rFonts w:ascii="Arial" w:hAnsi="Arial" w:cs="Arial"/>
              </w:rPr>
              <w:t>n going</w:t>
            </w:r>
          </w:p>
        </w:tc>
        <w:tc>
          <w:tcPr>
            <w:tcW w:w="3642" w:type="dxa"/>
          </w:tcPr>
          <w:p w14:paraId="1EDF33B7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 xml:space="preserve">Internal Functional Audits were conducted in all regions to </w:t>
            </w:r>
            <w:r w:rsidRPr="00882A50">
              <w:rPr>
                <w:rFonts w:ascii="Arial" w:eastAsia="Calibri" w:hAnsi="Arial" w:cs="Arial"/>
                <w:lang w:val="en-ZA"/>
              </w:rPr>
              <w:lastRenderedPageBreak/>
              <w:t>monitor compliances and address identified gaps.</w:t>
            </w:r>
          </w:p>
        </w:tc>
      </w:tr>
      <w:tr w:rsidR="00C23E63" w:rsidRPr="00882A50" w14:paraId="2828F105" w14:textId="77777777" w:rsidTr="008E1A90">
        <w:tc>
          <w:tcPr>
            <w:tcW w:w="431" w:type="dxa"/>
          </w:tcPr>
          <w:p w14:paraId="02B49A9E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lastRenderedPageBreak/>
              <w:t>5</w:t>
            </w:r>
          </w:p>
        </w:tc>
        <w:tc>
          <w:tcPr>
            <w:tcW w:w="3434" w:type="dxa"/>
          </w:tcPr>
          <w:p w14:paraId="659C4695" w14:textId="77777777" w:rsidR="00C23E63" w:rsidRPr="00882A50" w:rsidRDefault="00C23E63" w:rsidP="008E1A90">
            <w:pPr>
              <w:spacing w:line="360" w:lineRule="auto"/>
              <w:rPr>
                <w:rFonts w:ascii="Arial" w:hAnsi="Arial" w:cs="Arial"/>
              </w:rPr>
            </w:pPr>
            <w:r w:rsidRPr="00882A50">
              <w:rPr>
                <w:rFonts w:ascii="Arial" w:hAnsi="Arial" w:cs="Arial"/>
              </w:rPr>
              <w:t>Allocation of additional security resources in identified hotspots for theft and vandalism.</w:t>
            </w:r>
          </w:p>
        </w:tc>
        <w:tc>
          <w:tcPr>
            <w:tcW w:w="2525" w:type="dxa"/>
          </w:tcPr>
          <w:p w14:paraId="374CC242" w14:textId="77777777" w:rsidR="00C23E63" w:rsidRPr="00882A50" w:rsidRDefault="00C23E63" w:rsidP="008E1A90">
            <w:pPr>
              <w:spacing w:line="360" w:lineRule="auto"/>
              <w:rPr>
                <w:rFonts w:ascii="Arial" w:hAnsi="Arial" w:cs="Arial"/>
              </w:rPr>
            </w:pPr>
            <w:r w:rsidRPr="00882A50">
              <w:rPr>
                <w:rFonts w:ascii="Arial" w:hAnsi="Arial" w:cs="Arial"/>
              </w:rPr>
              <w:t>On-going</w:t>
            </w:r>
          </w:p>
        </w:tc>
        <w:tc>
          <w:tcPr>
            <w:tcW w:w="3642" w:type="dxa"/>
          </w:tcPr>
          <w:p w14:paraId="16C53FB0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Due to escalating theft and vandalism, Safety Patrollers and Safety Marshalls are deployed in some high incidents corridors.</w:t>
            </w:r>
          </w:p>
        </w:tc>
      </w:tr>
      <w:tr w:rsidR="00C23E63" w:rsidRPr="00882A50" w14:paraId="298732E1" w14:textId="77777777" w:rsidTr="008E1A90">
        <w:tc>
          <w:tcPr>
            <w:tcW w:w="431" w:type="dxa"/>
          </w:tcPr>
          <w:p w14:paraId="45B31B7E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7</w:t>
            </w:r>
          </w:p>
        </w:tc>
        <w:tc>
          <w:tcPr>
            <w:tcW w:w="3434" w:type="dxa"/>
          </w:tcPr>
          <w:p w14:paraId="03327FFA" w14:textId="77777777" w:rsidR="00C23E63" w:rsidRPr="00882A50" w:rsidRDefault="00C23E63" w:rsidP="008E1A90">
            <w:pPr>
              <w:spacing w:line="360" w:lineRule="auto"/>
              <w:rPr>
                <w:rFonts w:ascii="Arial" w:hAnsi="Arial" w:cs="Arial"/>
              </w:rPr>
            </w:pPr>
            <w:r w:rsidRPr="00882A50">
              <w:rPr>
                <w:rFonts w:ascii="Arial" w:hAnsi="Arial" w:cs="Arial"/>
              </w:rPr>
              <w:t>Safety Awareness Campaigns</w:t>
            </w:r>
          </w:p>
        </w:tc>
        <w:tc>
          <w:tcPr>
            <w:tcW w:w="2525" w:type="dxa"/>
          </w:tcPr>
          <w:p w14:paraId="43644D12" w14:textId="77777777" w:rsidR="00C23E63" w:rsidRPr="00882A50" w:rsidRDefault="00C23E63" w:rsidP="008E1A90">
            <w:pPr>
              <w:spacing w:line="360" w:lineRule="auto"/>
              <w:rPr>
                <w:rFonts w:ascii="Arial" w:hAnsi="Arial" w:cs="Arial"/>
              </w:rPr>
            </w:pPr>
            <w:r w:rsidRPr="00882A50">
              <w:rPr>
                <w:rFonts w:ascii="Arial" w:hAnsi="Arial" w:cs="Arial"/>
              </w:rPr>
              <w:t xml:space="preserve">Monthly </w:t>
            </w:r>
          </w:p>
        </w:tc>
        <w:tc>
          <w:tcPr>
            <w:tcW w:w="3642" w:type="dxa"/>
          </w:tcPr>
          <w:p w14:paraId="79ED8EAB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 xml:space="preserve">Regional Campaigns are conducted monthly </w:t>
            </w:r>
          </w:p>
        </w:tc>
      </w:tr>
      <w:tr w:rsidR="00C23E63" w:rsidRPr="00882A50" w14:paraId="1F190585" w14:textId="77777777" w:rsidTr="008E1A90">
        <w:tc>
          <w:tcPr>
            <w:tcW w:w="431" w:type="dxa"/>
          </w:tcPr>
          <w:p w14:paraId="42B7A5D9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8</w:t>
            </w:r>
          </w:p>
        </w:tc>
        <w:tc>
          <w:tcPr>
            <w:tcW w:w="3434" w:type="dxa"/>
          </w:tcPr>
          <w:p w14:paraId="1A6253F2" w14:textId="77777777" w:rsidR="00C23E63" w:rsidRPr="00882A50" w:rsidRDefault="00C23E63" w:rsidP="008E1A90">
            <w:pPr>
              <w:spacing w:line="360" w:lineRule="auto"/>
              <w:rPr>
                <w:rFonts w:ascii="Arial" w:hAnsi="Arial" w:cs="Arial"/>
              </w:rPr>
            </w:pPr>
            <w:r w:rsidRPr="00882A50">
              <w:rPr>
                <w:rFonts w:ascii="Arial" w:hAnsi="Arial" w:cs="Arial"/>
              </w:rPr>
              <w:t xml:space="preserve">Implementation of Board of Inquiry </w:t>
            </w:r>
            <w:r>
              <w:rPr>
                <w:rFonts w:ascii="Arial" w:hAnsi="Arial" w:cs="Arial"/>
              </w:rPr>
              <w:t xml:space="preserve">(BOI) </w:t>
            </w:r>
            <w:r w:rsidRPr="00882A50">
              <w:rPr>
                <w:rFonts w:ascii="Arial" w:hAnsi="Arial" w:cs="Arial"/>
              </w:rPr>
              <w:t>Recommendations</w:t>
            </w:r>
          </w:p>
        </w:tc>
        <w:tc>
          <w:tcPr>
            <w:tcW w:w="2525" w:type="dxa"/>
          </w:tcPr>
          <w:p w14:paraId="493B23C9" w14:textId="77777777" w:rsidR="00C23E63" w:rsidRPr="00882A50" w:rsidRDefault="00C23E63" w:rsidP="008E1A90">
            <w:pPr>
              <w:spacing w:line="360" w:lineRule="auto"/>
              <w:rPr>
                <w:rFonts w:ascii="Arial" w:hAnsi="Arial" w:cs="Arial"/>
              </w:rPr>
            </w:pPr>
            <w:r w:rsidRPr="00882A50">
              <w:rPr>
                <w:rFonts w:ascii="Arial" w:hAnsi="Arial" w:cs="Arial"/>
              </w:rPr>
              <w:t xml:space="preserve">As and </w:t>
            </w:r>
            <w:r>
              <w:rPr>
                <w:rFonts w:ascii="Arial" w:hAnsi="Arial" w:cs="Arial"/>
              </w:rPr>
              <w:t>w</w:t>
            </w:r>
            <w:r w:rsidRPr="00882A50">
              <w:rPr>
                <w:rFonts w:ascii="Arial" w:hAnsi="Arial" w:cs="Arial"/>
              </w:rPr>
              <w:t>hen a BOI is instituted.</w:t>
            </w:r>
          </w:p>
        </w:tc>
        <w:tc>
          <w:tcPr>
            <w:tcW w:w="3642" w:type="dxa"/>
          </w:tcPr>
          <w:p w14:paraId="7CD8AAAF" w14:textId="77777777" w:rsidR="00C23E63" w:rsidRPr="00882A50" w:rsidRDefault="00C23E63" w:rsidP="008E1A90">
            <w:pPr>
              <w:spacing w:before="100" w:beforeAutospacing="1" w:after="100" w:afterAutospacing="1" w:line="360" w:lineRule="auto"/>
              <w:outlineLvl w:val="0"/>
              <w:rPr>
                <w:rFonts w:ascii="Arial" w:eastAsia="Calibri" w:hAnsi="Arial" w:cs="Arial"/>
                <w:lang w:val="en-ZA"/>
              </w:rPr>
            </w:pPr>
            <w:r w:rsidRPr="00882A50">
              <w:rPr>
                <w:rFonts w:ascii="Arial" w:eastAsia="Calibri" w:hAnsi="Arial" w:cs="Arial"/>
                <w:lang w:val="en-ZA"/>
              </w:rPr>
              <w:t>A complete assessment for recommendations of all previous incidents dating back to 2015 is in progress</w:t>
            </w:r>
          </w:p>
        </w:tc>
      </w:tr>
    </w:tbl>
    <w:p w14:paraId="1DF5823B" w14:textId="77777777" w:rsidR="00C23E63" w:rsidRPr="00882A50" w:rsidRDefault="00C23E63" w:rsidP="00C23E6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76C43CEC" w14:textId="495B2AC2" w:rsidR="001068D0" w:rsidRPr="00613021" w:rsidRDefault="001068D0" w:rsidP="00613021"/>
    <w:sectPr w:rsidR="001068D0" w:rsidRPr="00613021" w:rsidSect="00AC5B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92E1E" w14:textId="77777777" w:rsidR="00840D86" w:rsidRDefault="00840D86" w:rsidP="00DB1508">
      <w:pPr>
        <w:spacing w:after="0" w:line="240" w:lineRule="auto"/>
      </w:pPr>
      <w:r>
        <w:separator/>
      </w:r>
    </w:p>
  </w:endnote>
  <w:endnote w:type="continuationSeparator" w:id="0">
    <w:p w14:paraId="507AF3CF" w14:textId="77777777" w:rsidR="00840D86" w:rsidRDefault="00840D86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265BC" w14:textId="77777777" w:rsidR="00890920" w:rsidRDefault="008909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DB5E418" w14:textId="77777777" w:rsidR="00890920" w:rsidRDefault="008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A8A95" w14:textId="77777777" w:rsidR="00840D86" w:rsidRDefault="00840D86" w:rsidP="00DB1508">
      <w:pPr>
        <w:spacing w:after="0" w:line="240" w:lineRule="auto"/>
      </w:pPr>
      <w:r>
        <w:separator/>
      </w:r>
    </w:p>
  </w:footnote>
  <w:footnote w:type="continuationSeparator" w:id="0">
    <w:p w14:paraId="087C28E9" w14:textId="77777777" w:rsidR="00840D86" w:rsidRDefault="00840D86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F52"/>
    <w:multiLevelType w:val="hybridMultilevel"/>
    <w:tmpl w:val="543ACD44"/>
    <w:lvl w:ilvl="0" w:tplc="580C418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56EB7"/>
    <w:multiLevelType w:val="hybridMultilevel"/>
    <w:tmpl w:val="892CD3E4"/>
    <w:lvl w:ilvl="0" w:tplc="08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11994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570D4"/>
    <w:rsid w:val="00060FA7"/>
    <w:rsid w:val="00061E18"/>
    <w:rsid w:val="00062495"/>
    <w:rsid w:val="00064EEE"/>
    <w:rsid w:val="00065792"/>
    <w:rsid w:val="00066E6C"/>
    <w:rsid w:val="000773B2"/>
    <w:rsid w:val="00080CA6"/>
    <w:rsid w:val="00082A4E"/>
    <w:rsid w:val="000855CA"/>
    <w:rsid w:val="0009500E"/>
    <w:rsid w:val="00095CFC"/>
    <w:rsid w:val="000A0DBF"/>
    <w:rsid w:val="000A2AA1"/>
    <w:rsid w:val="000B01FF"/>
    <w:rsid w:val="000B3631"/>
    <w:rsid w:val="000C3487"/>
    <w:rsid w:val="000C59FE"/>
    <w:rsid w:val="000D1C5C"/>
    <w:rsid w:val="000D6FB9"/>
    <w:rsid w:val="000E04E0"/>
    <w:rsid w:val="000E0CFE"/>
    <w:rsid w:val="000E1816"/>
    <w:rsid w:val="000E1907"/>
    <w:rsid w:val="000F14B7"/>
    <w:rsid w:val="000F15CB"/>
    <w:rsid w:val="000F183A"/>
    <w:rsid w:val="000F29A6"/>
    <w:rsid w:val="000F76BD"/>
    <w:rsid w:val="00100CF2"/>
    <w:rsid w:val="001038D0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6ADD"/>
    <w:rsid w:val="001479DC"/>
    <w:rsid w:val="00151041"/>
    <w:rsid w:val="00151529"/>
    <w:rsid w:val="0015160D"/>
    <w:rsid w:val="00153AAD"/>
    <w:rsid w:val="0015609C"/>
    <w:rsid w:val="00156DFD"/>
    <w:rsid w:val="00162ECA"/>
    <w:rsid w:val="00167E2B"/>
    <w:rsid w:val="001712B4"/>
    <w:rsid w:val="0017189F"/>
    <w:rsid w:val="00173751"/>
    <w:rsid w:val="001823DD"/>
    <w:rsid w:val="001828D3"/>
    <w:rsid w:val="001A41E7"/>
    <w:rsid w:val="001A7704"/>
    <w:rsid w:val="001B00F5"/>
    <w:rsid w:val="001B2869"/>
    <w:rsid w:val="001B2E53"/>
    <w:rsid w:val="001B4385"/>
    <w:rsid w:val="001B50E1"/>
    <w:rsid w:val="001C283E"/>
    <w:rsid w:val="001C28DB"/>
    <w:rsid w:val="001C323C"/>
    <w:rsid w:val="001C32E4"/>
    <w:rsid w:val="001C496C"/>
    <w:rsid w:val="001C72A1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E7140"/>
    <w:rsid w:val="001F05CC"/>
    <w:rsid w:val="001F0CED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085E"/>
    <w:rsid w:val="0023369C"/>
    <w:rsid w:val="00235DA0"/>
    <w:rsid w:val="002366A1"/>
    <w:rsid w:val="002422DA"/>
    <w:rsid w:val="00247ECC"/>
    <w:rsid w:val="00251BC9"/>
    <w:rsid w:val="0025261D"/>
    <w:rsid w:val="002535D9"/>
    <w:rsid w:val="00253BA7"/>
    <w:rsid w:val="002604B2"/>
    <w:rsid w:val="002606E1"/>
    <w:rsid w:val="00261077"/>
    <w:rsid w:val="00261D30"/>
    <w:rsid w:val="00262AB3"/>
    <w:rsid w:val="00275EB5"/>
    <w:rsid w:val="002800B5"/>
    <w:rsid w:val="002835D1"/>
    <w:rsid w:val="002838E4"/>
    <w:rsid w:val="002850FB"/>
    <w:rsid w:val="00286F8A"/>
    <w:rsid w:val="002872F5"/>
    <w:rsid w:val="0028789F"/>
    <w:rsid w:val="002956D0"/>
    <w:rsid w:val="00296510"/>
    <w:rsid w:val="002973E8"/>
    <w:rsid w:val="002A1F5E"/>
    <w:rsid w:val="002A3694"/>
    <w:rsid w:val="002A6B00"/>
    <w:rsid w:val="002B08E1"/>
    <w:rsid w:val="002B3082"/>
    <w:rsid w:val="002C441D"/>
    <w:rsid w:val="002C4526"/>
    <w:rsid w:val="002C5A62"/>
    <w:rsid w:val="002C5CB2"/>
    <w:rsid w:val="002D4348"/>
    <w:rsid w:val="002D56D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0DA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47DF1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5883"/>
    <w:rsid w:val="00396483"/>
    <w:rsid w:val="003A0196"/>
    <w:rsid w:val="003A196A"/>
    <w:rsid w:val="003A4A56"/>
    <w:rsid w:val="003A4F9D"/>
    <w:rsid w:val="003B125C"/>
    <w:rsid w:val="003B15B6"/>
    <w:rsid w:val="003B5402"/>
    <w:rsid w:val="003C2ADA"/>
    <w:rsid w:val="003C53EF"/>
    <w:rsid w:val="003C785A"/>
    <w:rsid w:val="003C78A2"/>
    <w:rsid w:val="003D44EF"/>
    <w:rsid w:val="003D7ABC"/>
    <w:rsid w:val="003E4F6B"/>
    <w:rsid w:val="003E5612"/>
    <w:rsid w:val="003E5EA9"/>
    <w:rsid w:val="003E6E9C"/>
    <w:rsid w:val="003E721F"/>
    <w:rsid w:val="003E7420"/>
    <w:rsid w:val="003F1D7B"/>
    <w:rsid w:val="003F5D38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51494"/>
    <w:rsid w:val="00456491"/>
    <w:rsid w:val="00456C02"/>
    <w:rsid w:val="00460FD2"/>
    <w:rsid w:val="0046188E"/>
    <w:rsid w:val="0046227D"/>
    <w:rsid w:val="00466474"/>
    <w:rsid w:val="00466C07"/>
    <w:rsid w:val="004679CC"/>
    <w:rsid w:val="0047634E"/>
    <w:rsid w:val="004813B8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3C39"/>
    <w:rsid w:val="004B44EF"/>
    <w:rsid w:val="004B6139"/>
    <w:rsid w:val="004B6F02"/>
    <w:rsid w:val="004C0992"/>
    <w:rsid w:val="004C44E1"/>
    <w:rsid w:val="004C5509"/>
    <w:rsid w:val="004C5AE9"/>
    <w:rsid w:val="004C6D1A"/>
    <w:rsid w:val="004D17A6"/>
    <w:rsid w:val="004D18C0"/>
    <w:rsid w:val="004D3681"/>
    <w:rsid w:val="004D45EF"/>
    <w:rsid w:val="004D4DF1"/>
    <w:rsid w:val="004E03F1"/>
    <w:rsid w:val="004E13FB"/>
    <w:rsid w:val="004E2149"/>
    <w:rsid w:val="004E2276"/>
    <w:rsid w:val="004E536A"/>
    <w:rsid w:val="004E67DE"/>
    <w:rsid w:val="004E75EB"/>
    <w:rsid w:val="004F51E5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499D"/>
    <w:rsid w:val="00555FE7"/>
    <w:rsid w:val="00557920"/>
    <w:rsid w:val="00562AC9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137"/>
    <w:rsid w:val="005A0BF1"/>
    <w:rsid w:val="005A3668"/>
    <w:rsid w:val="005B2227"/>
    <w:rsid w:val="005B6016"/>
    <w:rsid w:val="005C75F9"/>
    <w:rsid w:val="005D4ED3"/>
    <w:rsid w:val="005D5448"/>
    <w:rsid w:val="005D61A8"/>
    <w:rsid w:val="005E093E"/>
    <w:rsid w:val="005E123E"/>
    <w:rsid w:val="005E1D94"/>
    <w:rsid w:val="005E50A1"/>
    <w:rsid w:val="005E65C1"/>
    <w:rsid w:val="005F20B1"/>
    <w:rsid w:val="005F20BE"/>
    <w:rsid w:val="005F3F35"/>
    <w:rsid w:val="005F51EB"/>
    <w:rsid w:val="005F630B"/>
    <w:rsid w:val="006009A0"/>
    <w:rsid w:val="00604285"/>
    <w:rsid w:val="00610A40"/>
    <w:rsid w:val="00613021"/>
    <w:rsid w:val="006140CA"/>
    <w:rsid w:val="006160F0"/>
    <w:rsid w:val="00617B5C"/>
    <w:rsid w:val="00621AAF"/>
    <w:rsid w:val="00634EBB"/>
    <w:rsid w:val="0063716B"/>
    <w:rsid w:val="00637B39"/>
    <w:rsid w:val="00640911"/>
    <w:rsid w:val="0064379D"/>
    <w:rsid w:val="00645226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511"/>
    <w:rsid w:val="00680A9A"/>
    <w:rsid w:val="00682580"/>
    <w:rsid w:val="006842D9"/>
    <w:rsid w:val="006917CD"/>
    <w:rsid w:val="00691EDB"/>
    <w:rsid w:val="00691FC0"/>
    <w:rsid w:val="00695AF6"/>
    <w:rsid w:val="00697D7E"/>
    <w:rsid w:val="006A0615"/>
    <w:rsid w:val="006A6CC2"/>
    <w:rsid w:val="006B11A5"/>
    <w:rsid w:val="006B1CD3"/>
    <w:rsid w:val="006B3B97"/>
    <w:rsid w:val="006B4375"/>
    <w:rsid w:val="006C2FA7"/>
    <w:rsid w:val="006C6AC6"/>
    <w:rsid w:val="006D22A6"/>
    <w:rsid w:val="006D30EF"/>
    <w:rsid w:val="006D3425"/>
    <w:rsid w:val="006D3B5D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6E4"/>
    <w:rsid w:val="006F4245"/>
    <w:rsid w:val="00701C43"/>
    <w:rsid w:val="00701E46"/>
    <w:rsid w:val="00702A1E"/>
    <w:rsid w:val="007038E1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52EAB"/>
    <w:rsid w:val="0075491A"/>
    <w:rsid w:val="007562EA"/>
    <w:rsid w:val="00756EB6"/>
    <w:rsid w:val="00764334"/>
    <w:rsid w:val="00766F7E"/>
    <w:rsid w:val="00777716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1C1"/>
    <w:rsid w:val="007F5F7B"/>
    <w:rsid w:val="00802076"/>
    <w:rsid w:val="00802DCE"/>
    <w:rsid w:val="00803673"/>
    <w:rsid w:val="00804501"/>
    <w:rsid w:val="008046C7"/>
    <w:rsid w:val="00805E36"/>
    <w:rsid w:val="00806932"/>
    <w:rsid w:val="00810B14"/>
    <w:rsid w:val="00810C99"/>
    <w:rsid w:val="0081425D"/>
    <w:rsid w:val="00821374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0D86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81598"/>
    <w:rsid w:val="008821AF"/>
    <w:rsid w:val="008833AC"/>
    <w:rsid w:val="00884F88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0C54"/>
    <w:rsid w:val="008C2F92"/>
    <w:rsid w:val="008D27DB"/>
    <w:rsid w:val="008E0CE8"/>
    <w:rsid w:val="008E13A6"/>
    <w:rsid w:val="008E1A90"/>
    <w:rsid w:val="008E1AAE"/>
    <w:rsid w:val="008E6818"/>
    <w:rsid w:val="008F0979"/>
    <w:rsid w:val="008F2384"/>
    <w:rsid w:val="008F5C5A"/>
    <w:rsid w:val="00905034"/>
    <w:rsid w:val="00905917"/>
    <w:rsid w:val="00906702"/>
    <w:rsid w:val="00912613"/>
    <w:rsid w:val="00913EED"/>
    <w:rsid w:val="00916A9F"/>
    <w:rsid w:val="00916CE7"/>
    <w:rsid w:val="0091751E"/>
    <w:rsid w:val="0092115C"/>
    <w:rsid w:val="009222A7"/>
    <w:rsid w:val="009231D3"/>
    <w:rsid w:val="00926370"/>
    <w:rsid w:val="00926938"/>
    <w:rsid w:val="0092795A"/>
    <w:rsid w:val="00930948"/>
    <w:rsid w:val="00931DA2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557"/>
    <w:rsid w:val="009968D3"/>
    <w:rsid w:val="009A0286"/>
    <w:rsid w:val="009A468B"/>
    <w:rsid w:val="009A4739"/>
    <w:rsid w:val="009B0431"/>
    <w:rsid w:val="009B7CC0"/>
    <w:rsid w:val="009C0DE1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1C0E"/>
    <w:rsid w:val="00A33285"/>
    <w:rsid w:val="00A34259"/>
    <w:rsid w:val="00A343ED"/>
    <w:rsid w:val="00A36DA6"/>
    <w:rsid w:val="00A40246"/>
    <w:rsid w:val="00A4192C"/>
    <w:rsid w:val="00A44B9A"/>
    <w:rsid w:val="00A45518"/>
    <w:rsid w:val="00A46B71"/>
    <w:rsid w:val="00A46CC2"/>
    <w:rsid w:val="00A505F7"/>
    <w:rsid w:val="00A51004"/>
    <w:rsid w:val="00A54865"/>
    <w:rsid w:val="00A551B4"/>
    <w:rsid w:val="00A55457"/>
    <w:rsid w:val="00A60B40"/>
    <w:rsid w:val="00A60D33"/>
    <w:rsid w:val="00A66AA8"/>
    <w:rsid w:val="00A66D53"/>
    <w:rsid w:val="00A750D6"/>
    <w:rsid w:val="00A756F5"/>
    <w:rsid w:val="00A75AE8"/>
    <w:rsid w:val="00A80059"/>
    <w:rsid w:val="00A841FF"/>
    <w:rsid w:val="00A87430"/>
    <w:rsid w:val="00A90242"/>
    <w:rsid w:val="00A90517"/>
    <w:rsid w:val="00A910A7"/>
    <w:rsid w:val="00A91D2F"/>
    <w:rsid w:val="00A94824"/>
    <w:rsid w:val="00A96DC3"/>
    <w:rsid w:val="00AA2514"/>
    <w:rsid w:val="00AA4667"/>
    <w:rsid w:val="00AB2A22"/>
    <w:rsid w:val="00AB3558"/>
    <w:rsid w:val="00AB5375"/>
    <w:rsid w:val="00AC0E7A"/>
    <w:rsid w:val="00AC398E"/>
    <w:rsid w:val="00AC5BD1"/>
    <w:rsid w:val="00AC671F"/>
    <w:rsid w:val="00AC67FD"/>
    <w:rsid w:val="00AD4B8F"/>
    <w:rsid w:val="00AD61C7"/>
    <w:rsid w:val="00AD6B5D"/>
    <w:rsid w:val="00AE17B7"/>
    <w:rsid w:val="00AE290B"/>
    <w:rsid w:val="00AE2FD7"/>
    <w:rsid w:val="00AE4D2A"/>
    <w:rsid w:val="00AE521B"/>
    <w:rsid w:val="00AF136A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39DB"/>
    <w:rsid w:val="00B56227"/>
    <w:rsid w:val="00B60B8E"/>
    <w:rsid w:val="00B621B1"/>
    <w:rsid w:val="00B640BA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45E"/>
    <w:rsid w:val="00B97530"/>
    <w:rsid w:val="00BA0E64"/>
    <w:rsid w:val="00BA3834"/>
    <w:rsid w:val="00BA3A81"/>
    <w:rsid w:val="00BA4847"/>
    <w:rsid w:val="00BA6971"/>
    <w:rsid w:val="00BA7CE2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D7E73"/>
    <w:rsid w:val="00BE0C5A"/>
    <w:rsid w:val="00BE0D70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3B22"/>
    <w:rsid w:val="00C0405D"/>
    <w:rsid w:val="00C13733"/>
    <w:rsid w:val="00C202CB"/>
    <w:rsid w:val="00C221EA"/>
    <w:rsid w:val="00C23E63"/>
    <w:rsid w:val="00C264DC"/>
    <w:rsid w:val="00C33C1E"/>
    <w:rsid w:val="00C41242"/>
    <w:rsid w:val="00C456F7"/>
    <w:rsid w:val="00C50D10"/>
    <w:rsid w:val="00C528C8"/>
    <w:rsid w:val="00C53DE6"/>
    <w:rsid w:val="00C5706C"/>
    <w:rsid w:val="00C600FB"/>
    <w:rsid w:val="00C602C7"/>
    <w:rsid w:val="00C6207A"/>
    <w:rsid w:val="00C62268"/>
    <w:rsid w:val="00C632DD"/>
    <w:rsid w:val="00C637C7"/>
    <w:rsid w:val="00C64770"/>
    <w:rsid w:val="00C731ED"/>
    <w:rsid w:val="00C73C56"/>
    <w:rsid w:val="00C8100D"/>
    <w:rsid w:val="00C81DAE"/>
    <w:rsid w:val="00C92817"/>
    <w:rsid w:val="00CA3593"/>
    <w:rsid w:val="00CA7930"/>
    <w:rsid w:val="00CB0E3F"/>
    <w:rsid w:val="00CB3BEA"/>
    <w:rsid w:val="00CB50F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44E5"/>
    <w:rsid w:val="00D477D9"/>
    <w:rsid w:val="00D547D6"/>
    <w:rsid w:val="00D56D5F"/>
    <w:rsid w:val="00D57A14"/>
    <w:rsid w:val="00D57C57"/>
    <w:rsid w:val="00D66BBB"/>
    <w:rsid w:val="00D70354"/>
    <w:rsid w:val="00D7193E"/>
    <w:rsid w:val="00D7303F"/>
    <w:rsid w:val="00D74AD1"/>
    <w:rsid w:val="00D74D3D"/>
    <w:rsid w:val="00D74FD2"/>
    <w:rsid w:val="00D82AB0"/>
    <w:rsid w:val="00D84122"/>
    <w:rsid w:val="00D91442"/>
    <w:rsid w:val="00D91A7B"/>
    <w:rsid w:val="00D92CFD"/>
    <w:rsid w:val="00D92F30"/>
    <w:rsid w:val="00D9325F"/>
    <w:rsid w:val="00D94B31"/>
    <w:rsid w:val="00DA0998"/>
    <w:rsid w:val="00DA1E37"/>
    <w:rsid w:val="00DA440E"/>
    <w:rsid w:val="00DB1508"/>
    <w:rsid w:val="00DB21E7"/>
    <w:rsid w:val="00DB2458"/>
    <w:rsid w:val="00DC4F65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08BF"/>
    <w:rsid w:val="00E112D1"/>
    <w:rsid w:val="00E16032"/>
    <w:rsid w:val="00E1610F"/>
    <w:rsid w:val="00E16B9F"/>
    <w:rsid w:val="00E24CB8"/>
    <w:rsid w:val="00E26225"/>
    <w:rsid w:val="00E276D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565"/>
    <w:rsid w:val="00E55892"/>
    <w:rsid w:val="00E566D8"/>
    <w:rsid w:val="00E57A4E"/>
    <w:rsid w:val="00E57DBE"/>
    <w:rsid w:val="00E6154F"/>
    <w:rsid w:val="00E635CC"/>
    <w:rsid w:val="00E676A3"/>
    <w:rsid w:val="00E71E7D"/>
    <w:rsid w:val="00E74107"/>
    <w:rsid w:val="00E74736"/>
    <w:rsid w:val="00E7732B"/>
    <w:rsid w:val="00E80B27"/>
    <w:rsid w:val="00E81167"/>
    <w:rsid w:val="00E8305A"/>
    <w:rsid w:val="00E83B34"/>
    <w:rsid w:val="00E846AD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3F86"/>
    <w:rsid w:val="00F079D2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B525E"/>
    <w:rsid w:val="00FC785D"/>
    <w:rsid w:val="00FD3185"/>
    <w:rsid w:val="00FD4C2F"/>
    <w:rsid w:val="00FD52DB"/>
    <w:rsid w:val="00FD6A97"/>
    <w:rsid w:val="00FD7E9F"/>
    <w:rsid w:val="00FE1757"/>
    <w:rsid w:val="00FE2EDB"/>
    <w:rsid w:val="00FE376C"/>
    <w:rsid w:val="00FE5840"/>
    <w:rsid w:val="00FE6A58"/>
    <w:rsid w:val="00FF01E9"/>
    <w:rsid w:val="00FF40A4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25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5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4DE34-1C79-464A-A2D3-F2E711C6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3</cp:revision>
  <cp:lastPrinted>2018-03-19T09:22:00Z</cp:lastPrinted>
  <dcterms:created xsi:type="dcterms:W3CDTF">2019-03-13T14:16:00Z</dcterms:created>
  <dcterms:modified xsi:type="dcterms:W3CDTF">2019-03-13T14:19:00Z</dcterms:modified>
</cp:coreProperties>
</file>