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96C7C"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4E737E14"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3FB8A579"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8C0374">
        <w:rPr>
          <w:rFonts w:cs="Arial"/>
          <w:sz w:val="22"/>
          <w:szCs w:val="22"/>
          <w:u w:val="none"/>
          <w:lang w:val="en-ZA"/>
        </w:rPr>
        <w:t>7</w:t>
      </w:r>
      <w:r w:rsidR="00EF2397">
        <w:rPr>
          <w:rFonts w:cs="Arial"/>
          <w:sz w:val="22"/>
          <w:szCs w:val="22"/>
          <w:u w:val="none"/>
          <w:lang w:val="en-ZA"/>
        </w:rPr>
        <w:t>7</w:t>
      </w:r>
      <w:r w:rsidR="00353781">
        <w:rPr>
          <w:rFonts w:cs="Arial"/>
          <w:sz w:val="22"/>
          <w:szCs w:val="22"/>
          <w:u w:val="none"/>
          <w:lang w:val="en-ZA"/>
        </w:rPr>
        <w:t>0</w:t>
      </w:r>
    </w:p>
    <w:p w14:paraId="29B0F57D" w14:textId="77777777" w:rsidR="00EF2397" w:rsidRPr="00EF2397" w:rsidRDefault="00EF2397" w:rsidP="00EF2397">
      <w:pPr>
        <w:spacing w:before="100" w:beforeAutospacing="1" w:after="100" w:afterAutospacing="1" w:line="240" w:lineRule="auto"/>
        <w:ind w:left="851" w:hanging="851"/>
        <w:jc w:val="both"/>
        <w:outlineLvl w:val="0"/>
        <w:rPr>
          <w:rFonts w:ascii="Arial" w:hAnsi="Arial" w:cs="Arial"/>
          <w:b/>
          <w:noProof/>
          <w:lang w:val="af-ZA"/>
        </w:rPr>
      </w:pPr>
      <w:r w:rsidRPr="00EF2397">
        <w:rPr>
          <w:rFonts w:ascii="Arial" w:hAnsi="Arial" w:cs="Arial"/>
          <w:b/>
          <w:noProof/>
          <w:lang w:val="af-ZA"/>
        </w:rPr>
        <w:t>Mr C H H Hunsinger (DA) to ask the Minister of Transport:</w:t>
      </w:r>
    </w:p>
    <w:p w14:paraId="04C690C9" w14:textId="77777777" w:rsidR="00EF2397" w:rsidRPr="000F782D" w:rsidRDefault="00EF2397" w:rsidP="000F782D">
      <w:pPr>
        <w:spacing w:before="100" w:beforeAutospacing="1" w:after="100" w:afterAutospacing="1" w:line="240" w:lineRule="auto"/>
        <w:jc w:val="both"/>
        <w:outlineLvl w:val="0"/>
        <w:rPr>
          <w:rFonts w:ascii="Arial" w:hAnsi="Arial" w:cs="Arial"/>
        </w:rPr>
      </w:pPr>
      <w:r w:rsidRPr="00EF2397">
        <w:rPr>
          <w:rFonts w:ascii="Arial" w:hAnsi="Arial" w:cs="Arial"/>
        </w:rPr>
        <w:t>Has the SA National Roads Agency applied the preference points and prescribed formula system in the awarding of all contracts within supply chain and procurement as expressed in (a) paragraph 2 of the Preferential Procurement Policy Framework Act, Act 5 of 2000, and (b) section 51 of the Public Finance Management Act, Act 1 of 1999, as amended; if not, why not; if so, (</w:t>
      </w:r>
      <w:proofErr w:type="spellStart"/>
      <w:r w:rsidRPr="00EF2397">
        <w:rPr>
          <w:rFonts w:ascii="Arial" w:hAnsi="Arial" w:cs="Arial"/>
        </w:rPr>
        <w:t>i</w:t>
      </w:r>
      <w:proofErr w:type="spellEnd"/>
      <w:r w:rsidRPr="00EF2397">
        <w:rPr>
          <w:rFonts w:ascii="Arial" w:hAnsi="Arial" w:cs="Arial"/>
        </w:rPr>
        <w:t>) which contracts and (ii) to what value</w:t>
      </w:r>
      <w:r w:rsidRPr="00EF2397">
        <w:rPr>
          <w:rFonts w:ascii="Arial" w:hAnsi="Arial" w:cs="Arial"/>
          <w:noProof/>
          <w:lang w:val="af-ZA"/>
        </w:rPr>
        <w:t>?</w:t>
      </w:r>
      <w:r w:rsidRPr="00EF2397">
        <w:rPr>
          <w:rFonts w:ascii="Arial" w:hAnsi="Arial" w:cs="Arial"/>
          <w:noProof/>
          <w:lang w:val="af-ZA"/>
        </w:rPr>
        <w:tab/>
      </w:r>
      <w:r w:rsidRPr="00EF2397">
        <w:rPr>
          <w:rFonts w:ascii="Arial" w:hAnsi="Arial" w:cs="Arial"/>
          <w:noProof/>
          <w:lang w:val="af-ZA"/>
        </w:rPr>
        <w:tab/>
      </w:r>
      <w:r w:rsidRPr="00EF2397">
        <w:rPr>
          <w:rFonts w:ascii="Arial" w:hAnsi="Arial" w:cs="Arial"/>
          <w:noProof/>
          <w:lang w:val="af-ZA"/>
        </w:rPr>
        <w:tab/>
      </w:r>
      <w:r w:rsidRPr="00EF2397">
        <w:rPr>
          <w:rFonts w:ascii="Arial" w:hAnsi="Arial" w:cs="Arial"/>
          <w:noProof/>
          <w:lang w:val="af-ZA"/>
        </w:rPr>
        <w:tab/>
      </w:r>
      <w:r w:rsidRPr="00EF2397">
        <w:rPr>
          <w:rFonts w:ascii="Arial" w:hAnsi="Arial" w:cs="Arial"/>
          <w:noProof/>
          <w:lang w:val="af-ZA"/>
        </w:rPr>
        <w:tab/>
      </w:r>
      <w:r w:rsidRPr="00EF2397">
        <w:rPr>
          <w:rFonts w:ascii="Arial" w:hAnsi="Arial" w:cs="Arial"/>
          <w:noProof/>
          <w:lang w:val="af-ZA"/>
        </w:rPr>
        <w:tab/>
      </w:r>
      <w:r w:rsidRPr="00EF2397">
        <w:rPr>
          <w:rFonts w:ascii="Arial" w:hAnsi="Arial" w:cs="Arial"/>
          <w:noProof/>
          <w:lang w:val="af-ZA"/>
        </w:rPr>
        <w:tab/>
        <w:t>NW2078E</w:t>
      </w:r>
    </w:p>
    <w:p w14:paraId="50AD105D" w14:textId="77777777" w:rsidR="000F782D" w:rsidRPr="005225EF" w:rsidRDefault="005225EF" w:rsidP="005225EF">
      <w:pPr>
        <w:rPr>
          <w:rFonts w:ascii="Arial" w:hAnsi="Arial" w:cs="Arial"/>
          <w:b/>
          <w:lang w:val="en-ZA" w:eastAsia="x-none"/>
        </w:rPr>
      </w:pPr>
      <w:r w:rsidRPr="005225EF">
        <w:rPr>
          <w:rFonts w:ascii="Arial" w:hAnsi="Arial" w:cs="Arial"/>
          <w:b/>
          <w:lang w:val="en-ZA" w:eastAsia="x-none"/>
        </w:rPr>
        <w:t>REPLY</w:t>
      </w:r>
    </w:p>
    <w:p w14:paraId="1A59931C" w14:textId="77777777" w:rsidR="00506F67" w:rsidRDefault="000F782D" w:rsidP="00506F67">
      <w:pPr>
        <w:pStyle w:val="ListParagraph"/>
        <w:numPr>
          <w:ilvl w:val="0"/>
          <w:numId w:val="47"/>
        </w:numPr>
        <w:spacing w:before="100" w:beforeAutospacing="1" w:after="100" w:afterAutospacing="1" w:line="240" w:lineRule="auto"/>
        <w:jc w:val="both"/>
        <w:outlineLvl w:val="0"/>
        <w:rPr>
          <w:rFonts w:ascii="Arial" w:hAnsi="Arial" w:cs="Arial"/>
        </w:rPr>
      </w:pPr>
      <w:r w:rsidRPr="00506F67">
        <w:rPr>
          <w:rFonts w:ascii="Arial" w:hAnsi="Arial" w:cs="Arial"/>
        </w:rPr>
        <w:t xml:space="preserve">Yes, SANRAL adheres to the applicable legislative prescripts including that of the PPPFA.  However, the </w:t>
      </w:r>
      <w:proofErr w:type="spellStart"/>
      <w:r w:rsidRPr="00506F67">
        <w:rPr>
          <w:rFonts w:ascii="Arial" w:hAnsi="Arial" w:cs="Arial"/>
        </w:rPr>
        <w:t>honourable</w:t>
      </w:r>
      <w:proofErr w:type="spellEnd"/>
      <w:r w:rsidRPr="00506F67">
        <w:rPr>
          <w:rFonts w:ascii="Arial" w:hAnsi="Arial" w:cs="Arial"/>
        </w:rPr>
        <w:t xml:space="preserve"> member may recall an instance reported in the Annual Report under the Auditor General’s report that in the opinion of the AG it was not.  This was reported and discussed in the Portfolio Committee in October 2015.  The </w:t>
      </w:r>
      <w:proofErr w:type="spellStart"/>
      <w:r w:rsidRPr="00506F67">
        <w:rPr>
          <w:rFonts w:ascii="Arial" w:hAnsi="Arial" w:cs="Arial"/>
        </w:rPr>
        <w:t>honourable</w:t>
      </w:r>
      <w:proofErr w:type="spellEnd"/>
      <w:r w:rsidRPr="00506F67">
        <w:rPr>
          <w:rFonts w:ascii="Arial" w:hAnsi="Arial" w:cs="Arial"/>
        </w:rPr>
        <w:t xml:space="preserve"> member may recall that the difference of opinion related to the interpretation of the phrase “lowest acceptable price”.  We make use of this opportunity to once again clarify the matter.  It is brought to the attention of the </w:t>
      </w:r>
      <w:proofErr w:type="spellStart"/>
      <w:r w:rsidRPr="00506F67">
        <w:rPr>
          <w:rFonts w:ascii="Arial" w:hAnsi="Arial" w:cs="Arial"/>
        </w:rPr>
        <w:t>honourable</w:t>
      </w:r>
      <w:proofErr w:type="spellEnd"/>
      <w:r w:rsidRPr="00506F67">
        <w:rPr>
          <w:rFonts w:ascii="Arial" w:hAnsi="Arial" w:cs="Arial"/>
        </w:rPr>
        <w:t xml:space="preserve"> member that neither the PPPFA nor its Regulations define the phrase “lowest acceptable price”. The Regulations define the terms “comparative price, “firm price” and “non-firm price”. </w:t>
      </w:r>
    </w:p>
    <w:p w14:paraId="796D4C0C" w14:textId="77777777" w:rsidR="00506F67" w:rsidRPr="00506F67" w:rsidRDefault="00506F67" w:rsidP="00506F67">
      <w:pPr>
        <w:pStyle w:val="ListParagraph"/>
        <w:spacing w:before="100" w:beforeAutospacing="1" w:after="100" w:afterAutospacing="1" w:line="240" w:lineRule="auto"/>
        <w:ind w:left="930"/>
        <w:jc w:val="both"/>
        <w:outlineLvl w:val="0"/>
        <w:rPr>
          <w:rFonts w:ascii="Arial" w:hAnsi="Arial" w:cs="Arial"/>
        </w:rPr>
      </w:pPr>
    </w:p>
    <w:p w14:paraId="710B4F02" w14:textId="77777777" w:rsidR="00506F67" w:rsidRDefault="000F782D" w:rsidP="00506F67">
      <w:pPr>
        <w:pStyle w:val="ListParagraph"/>
        <w:spacing w:before="100" w:beforeAutospacing="1" w:after="100" w:afterAutospacing="1" w:line="240" w:lineRule="auto"/>
        <w:ind w:left="930"/>
        <w:jc w:val="both"/>
        <w:outlineLvl w:val="0"/>
        <w:rPr>
          <w:rFonts w:ascii="Arial" w:hAnsi="Arial" w:cs="Arial"/>
        </w:rPr>
      </w:pPr>
      <w:r w:rsidRPr="00506F67">
        <w:rPr>
          <w:rFonts w:ascii="Arial" w:hAnsi="Arial" w:cs="Arial"/>
        </w:rPr>
        <w:t>The PPPFA Act (No. 5 of 2000) requires SANRAL to award contracts to the tenderer with the “lowest acceptable tender”. It has been SANRAL’s experience that when awarding a tender at the lowest price (at face value), where the objective is to promote the development of SMMEs, they either underprice with unviable tenders to get the job or the main contractors exploit the sub-contractors by pushing for unrealistic pricing. Moreover, this opens up opportunities for collusive practices.</w:t>
      </w:r>
    </w:p>
    <w:p w14:paraId="59E2FA3C" w14:textId="77777777" w:rsidR="00506F67" w:rsidRDefault="00506F67" w:rsidP="00506F67">
      <w:pPr>
        <w:pStyle w:val="ListParagraph"/>
        <w:spacing w:before="100" w:beforeAutospacing="1" w:after="100" w:afterAutospacing="1" w:line="240" w:lineRule="auto"/>
        <w:ind w:left="930"/>
        <w:jc w:val="both"/>
        <w:outlineLvl w:val="0"/>
        <w:rPr>
          <w:rFonts w:ascii="Arial" w:hAnsi="Arial" w:cs="Arial"/>
        </w:rPr>
      </w:pPr>
    </w:p>
    <w:p w14:paraId="73A6A909" w14:textId="77777777" w:rsidR="00506F67" w:rsidRDefault="000F782D" w:rsidP="00506F67">
      <w:pPr>
        <w:pStyle w:val="ListParagraph"/>
        <w:spacing w:before="100" w:beforeAutospacing="1" w:after="100" w:afterAutospacing="1" w:line="240" w:lineRule="auto"/>
        <w:ind w:left="930"/>
        <w:jc w:val="both"/>
        <w:outlineLvl w:val="0"/>
        <w:rPr>
          <w:rFonts w:ascii="Arial" w:hAnsi="Arial" w:cs="Arial"/>
          <w:lang w:val="en-GB"/>
        </w:rPr>
      </w:pPr>
      <w:r w:rsidRPr="00AB730D">
        <w:rPr>
          <w:rFonts w:ascii="Arial" w:hAnsi="Arial" w:cs="Arial"/>
          <w:lang w:val="en-GB"/>
        </w:rPr>
        <w:t>SANRAL therefore developed and introduced a statistical method to establish the lowest acceptable price for each RRM contract.</w:t>
      </w:r>
      <w:r w:rsidRPr="00AB730D">
        <w:rPr>
          <w:rFonts w:ascii="Arial" w:eastAsia="Times New Roman" w:hAnsi="Arial" w:cs="Arial"/>
          <w:sz w:val="24"/>
          <w:szCs w:val="24"/>
          <w:lang w:val="en-GB"/>
        </w:rPr>
        <w:t xml:space="preserve"> </w:t>
      </w:r>
      <w:r w:rsidRPr="00AB730D">
        <w:rPr>
          <w:rFonts w:ascii="Arial" w:hAnsi="Arial" w:cs="Arial"/>
          <w:lang w:val="en-GB"/>
        </w:rPr>
        <w:t>The tenderer with the price closest to this computed price was considered for award after giving due merit to other evaluation criteria such as preference points, including the price offered.  Upon establishing the “price”, all tenders were further evaluated in accordance with the applicable regulations. Thus maintaining the requirements of the PPPFA.  This discouraged collusion among contractors and ensured the sustainability of SMMEs. This method was in use for over 11 years – the AG was aware of the rationale and method of award and there were no findings from the AG and/or complaints from the contractors.</w:t>
      </w:r>
    </w:p>
    <w:p w14:paraId="5BAFA4EC" w14:textId="77777777" w:rsidR="00506F67" w:rsidRDefault="00506F67" w:rsidP="00506F67">
      <w:pPr>
        <w:pStyle w:val="ListParagraph"/>
        <w:spacing w:before="100" w:beforeAutospacing="1" w:after="100" w:afterAutospacing="1" w:line="240" w:lineRule="auto"/>
        <w:ind w:left="930"/>
        <w:jc w:val="both"/>
        <w:outlineLvl w:val="0"/>
        <w:rPr>
          <w:rFonts w:ascii="Arial" w:hAnsi="Arial" w:cs="Arial"/>
          <w:lang w:val="en-GB"/>
        </w:rPr>
      </w:pPr>
    </w:p>
    <w:p w14:paraId="7C56C5E0" w14:textId="77777777" w:rsidR="00506F67" w:rsidRDefault="000F782D" w:rsidP="00506F67">
      <w:pPr>
        <w:pStyle w:val="ListParagraph"/>
        <w:spacing w:before="100" w:beforeAutospacing="1" w:after="100" w:afterAutospacing="1" w:line="240" w:lineRule="auto"/>
        <w:ind w:left="930"/>
        <w:jc w:val="both"/>
        <w:outlineLvl w:val="0"/>
        <w:rPr>
          <w:rFonts w:ascii="Arial" w:hAnsi="Arial" w:cs="Arial"/>
          <w:lang w:val="en-GB"/>
        </w:rPr>
      </w:pPr>
      <w:r w:rsidRPr="00AB730D">
        <w:rPr>
          <w:rFonts w:ascii="Arial" w:hAnsi="Arial" w:cs="Arial"/>
          <w:lang w:val="en-GB"/>
        </w:rPr>
        <w:t>In 2013, for the first time, the AG raised the finding that the statistical methodology was not compliant with the requirements of the PPPFA Act. This is notwithstanding that the AG could not show in terms of which clause of the Act the statistical method was non-compliant. The AG also noted that that the method was used to protect SMMEs and recommended that SANRAL apply for an exemption from this applicable section of the PPPFA from the Minister of Finance which SANRAL did.</w:t>
      </w:r>
    </w:p>
    <w:p w14:paraId="27F221E8" w14:textId="77777777" w:rsidR="00506F67" w:rsidRDefault="00506F67" w:rsidP="00506F67">
      <w:pPr>
        <w:pStyle w:val="ListParagraph"/>
        <w:spacing w:before="100" w:beforeAutospacing="1" w:after="100" w:afterAutospacing="1" w:line="240" w:lineRule="auto"/>
        <w:ind w:left="930"/>
        <w:jc w:val="both"/>
        <w:outlineLvl w:val="0"/>
        <w:rPr>
          <w:rFonts w:ascii="Arial" w:hAnsi="Arial" w:cs="Arial"/>
          <w:lang w:val="en-GB"/>
        </w:rPr>
      </w:pPr>
    </w:p>
    <w:p w14:paraId="0F0B7AC1" w14:textId="77777777" w:rsidR="00506F67" w:rsidRDefault="000F782D" w:rsidP="00506F67">
      <w:pPr>
        <w:pStyle w:val="ListParagraph"/>
        <w:spacing w:before="100" w:beforeAutospacing="1" w:after="100" w:afterAutospacing="1" w:line="240" w:lineRule="auto"/>
        <w:ind w:left="930"/>
        <w:jc w:val="both"/>
        <w:outlineLvl w:val="0"/>
        <w:rPr>
          <w:rFonts w:ascii="Arial" w:hAnsi="Arial" w:cs="Arial"/>
          <w:lang w:val="en-GB"/>
        </w:rPr>
      </w:pPr>
      <w:r w:rsidRPr="00AB730D">
        <w:rPr>
          <w:rFonts w:ascii="Arial" w:hAnsi="Arial" w:cs="Arial"/>
          <w:lang w:val="en-GB"/>
        </w:rPr>
        <w:t xml:space="preserve">SANRAL applied for an exemption in terms of section 3(c) of the PPPFA. The rationale for the request was explained. The exemption was not granted. SANRAL requested for a condonation of the irregular expenditure subsequently, which was also not granted. Consequently, the AG’s report has included a note on irregular expenditure in this regard and will be noted till 2016.  </w:t>
      </w:r>
    </w:p>
    <w:p w14:paraId="4670FDCD" w14:textId="77777777" w:rsidR="00506F67" w:rsidRDefault="00506F67" w:rsidP="00506F67">
      <w:pPr>
        <w:pStyle w:val="ListParagraph"/>
        <w:spacing w:before="100" w:beforeAutospacing="1" w:after="100" w:afterAutospacing="1" w:line="240" w:lineRule="auto"/>
        <w:ind w:left="930"/>
        <w:jc w:val="both"/>
        <w:outlineLvl w:val="0"/>
        <w:rPr>
          <w:rFonts w:ascii="Arial" w:hAnsi="Arial" w:cs="Arial"/>
          <w:lang w:val="en-GB"/>
        </w:rPr>
      </w:pPr>
    </w:p>
    <w:p w14:paraId="77C58A72" w14:textId="77777777" w:rsidR="00506F67" w:rsidRDefault="000F782D" w:rsidP="00506F67">
      <w:pPr>
        <w:pStyle w:val="ListParagraph"/>
        <w:spacing w:before="100" w:beforeAutospacing="1" w:after="100" w:afterAutospacing="1" w:line="240" w:lineRule="auto"/>
        <w:ind w:left="930"/>
        <w:jc w:val="both"/>
        <w:outlineLvl w:val="0"/>
        <w:rPr>
          <w:rFonts w:ascii="Arial" w:hAnsi="Arial" w:cs="Arial"/>
          <w:lang w:val="en-GB"/>
        </w:rPr>
      </w:pPr>
      <w:r w:rsidRPr="00AB730D">
        <w:rPr>
          <w:rFonts w:ascii="Arial" w:hAnsi="Arial" w:cs="Arial"/>
          <w:lang w:val="en-GB"/>
        </w:rPr>
        <w:t xml:space="preserve">Of importance is for the honourable member to note that: </w:t>
      </w:r>
    </w:p>
    <w:p w14:paraId="705D239C" w14:textId="77777777" w:rsidR="00506F67" w:rsidRDefault="00506F67" w:rsidP="00506F67">
      <w:pPr>
        <w:pStyle w:val="ListParagraph"/>
        <w:spacing w:before="100" w:beforeAutospacing="1" w:after="100" w:afterAutospacing="1" w:line="240" w:lineRule="auto"/>
        <w:ind w:left="930"/>
        <w:jc w:val="both"/>
        <w:outlineLvl w:val="0"/>
        <w:rPr>
          <w:rFonts w:ascii="Arial" w:hAnsi="Arial" w:cs="Arial"/>
          <w:lang w:val="en-GB"/>
        </w:rPr>
      </w:pPr>
    </w:p>
    <w:p w14:paraId="402BFC9A" w14:textId="77777777" w:rsidR="00506F67" w:rsidRDefault="000F782D" w:rsidP="00506F67">
      <w:pPr>
        <w:pStyle w:val="ListParagraph"/>
        <w:numPr>
          <w:ilvl w:val="0"/>
          <w:numId w:val="48"/>
        </w:numPr>
        <w:spacing w:before="100" w:beforeAutospacing="1" w:after="100" w:afterAutospacing="1" w:line="240" w:lineRule="auto"/>
        <w:jc w:val="both"/>
        <w:outlineLvl w:val="0"/>
        <w:rPr>
          <w:rFonts w:ascii="Arial" w:hAnsi="Arial" w:cs="Arial"/>
          <w:lang w:val="en-GB"/>
        </w:rPr>
      </w:pPr>
      <w:r w:rsidRPr="00AB730D">
        <w:rPr>
          <w:rFonts w:ascii="Arial" w:hAnsi="Arial" w:cs="Arial"/>
          <w:lang w:val="en-GB"/>
        </w:rPr>
        <w:t>SANRAL has stopped awarding contracts on this basis, and has reverted to awarding contracts to the lowest price at face value, after due consideration of all other evaluation criteria; and</w:t>
      </w:r>
    </w:p>
    <w:p w14:paraId="72866D32" w14:textId="77777777" w:rsidR="00506F67" w:rsidRPr="00506F67" w:rsidRDefault="00506F67" w:rsidP="00506F67">
      <w:pPr>
        <w:pStyle w:val="ListParagraph"/>
        <w:spacing w:before="100" w:beforeAutospacing="1" w:after="100" w:afterAutospacing="1" w:line="240" w:lineRule="auto"/>
        <w:ind w:left="1650"/>
        <w:jc w:val="both"/>
        <w:outlineLvl w:val="0"/>
        <w:rPr>
          <w:rFonts w:ascii="Arial" w:hAnsi="Arial" w:cs="Arial"/>
          <w:lang w:val="en-GB"/>
        </w:rPr>
      </w:pPr>
    </w:p>
    <w:p w14:paraId="2A17FB6B" w14:textId="77777777" w:rsidR="00506F67" w:rsidRDefault="000F782D" w:rsidP="00506F67">
      <w:pPr>
        <w:pStyle w:val="ListParagraph"/>
        <w:numPr>
          <w:ilvl w:val="0"/>
          <w:numId w:val="48"/>
        </w:numPr>
        <w:spacing w:before="100" w:beforeAutospacing="1" w:after="100" w:afterAutospacing="1" w:line="240" w:lineRule="auto"/>
        <w:jc w:val="both"/>
        <w:outlineLvl w:val="0"/>
        <w:rPr>
          <w:rFonts w:ascii="Arial" w:hAnsi="Arial" w:cs="Arial"/>
          <w:lang w:val="en-GB"/>
        </w:rPr>
      </w:pPr>
      <w:r w:rsidRPr="00506F67">
        <w:rPr>
          <w:rFonts w:ascii="Arial" w:hAnsi="Arial" w:cs="Arial"/>
          <w:lang w:val="en-GB"/>
        </w:rPr>
        <w:t>the above has been explained to the Minister of Transport and to the Portfolio Committee on Transport as recent as October 2015 and other stakeholders who queried this.</w:t>
      </w:r>
    </w:p>
    <w:p w14:paraId="75151335" w14:textId="77777777" w:rsidR="00506F67" w:rsidRPr="00506F67" w:rsidRDefault="00506F67" w:rsidP="00506F67">
      <w:pPr>
        <w:pStyle w:val="ListParagraph"/>
        <w:spacing w:before="100" w:beforeAutospacing="1" w:after="100" w:afterAutospacing="1" w:line="240" w:lineRule="auto"/>
        <w:ind w:left="1650"/>
        <w:jc w:val="both"/>
        <w:outlineLvl w:val="0"/>
        <w:rPr>
          <w:rFonts w:ascii="Arial" w:hAnsi="Arial" w:cs="Arial"/>
          <w:lang w:val="en-GB"/>
        </w:rPr>
      </w:pPr>
    </w:p>
    <w:p w14:paraId="448EC234" w14:textId="77777777" w:rsidR="000F782D" w:rsidRPr="00506F67" w:rsidRDefault="000F782D" w:rsidP="00506F67">
      <w:pPr>
        <w:pStyle w:val="ListParagraph"/>
        <w:numPr>
          <w:ilvl w:val="0"/>
          <w:numId w:val="48"/>
        </w:numPr>
        <w:spacing w:before="100" w:beforeAutospacing="1" w:after="100" w:afterAutospacing="1" w:line="240" w:lineRule="auto"/>
        <w:jc w:val="both"/>
        <w:outlineLvl w:val="0"/>
        <w:rPr>
          <w:rFonts w:ascii="Arial" w:hAnsi="Arial" w:cs="Arial"/>
          <w:lang w:val="en-GB"/>
        </w:rPr>
      </w:pPr>
      <w:r w:rsidRPr="00506F67">
        <w:rPr>
          <w:rFonts w:ascii="Arial" w:hAnsi="Arial" w:cs="Arial"/>
          <w:lang w:val="en-GB"/>
        </w:rPr>
        <w:t>The honourable member is referred to the Annual Reports:  Report of the auditor-general to Parliament on SANRAL.</w:t>
      </w:r>
    </w:p>
    <w:p w14:paraId="33BD18BD" w14:textId="77777777" w:rsidR="000F782D" w:rsidRPr="00D428BA" w:rsidRDefault="000F782D" w:rsidP="00D428BA">
      <w:pPr>
        <w:spacing w:before="100" w:beforeAutospacing="1" w:after="100" w:afterAutospacing="1" w:line="240" w:lineRule="auto"/>
        <w:ind w:left="567" w:hanging="567"/>
        <w:jc w:val="both"/>
        <w:outlineLvl w:val="0"/>
        <w:rPr>
          <w:rFonts w:ascii="Arial" w:hAnsi="Arial" w:cs="Arial"/>
          <w:noProof/>
          <w:lang w:val="af-ZA"/>
        </w:rPr>
      </w:pPr>
      <w:r w:rsidRPr="00AB730D">
        <w:rPr>
          <w:rFonts w:ascii="Arial" w:hAnsi="Arial" w:cs="Arial"/>
        </w:rPr>
        <w:t xml:space="preserve">(b) </w:t>
      </w:r>
      <w:r w:rsidR="00D428BA">
        <w:rPr>
          <w:rFonts w:ascii="Arial" w:hAnsi="Arial" w:cs="Arial"/>
        </w:rPr>
        <w:tab/>
      </w:r>
      <w:r w:rsidRPr="00AB730D">
        <w:rPr>
          <w:rFonts w:ascii="Arial" w:hAnsi="Arial" w:cs="Arial"/>
          <w:noProof/>
          <w:lang w:val="af-ZA"/>
        </w:rPr>
        <w:t>Yes, we have.</w:t>
      </w:r>
      <w:r w:rsidR="00D428BA">
        <w:rPr>
          <w:rFonts w:ascii="Arial" w:hAnsi="Arial" w:cs="Arial"/>
          <w:noProof/>
          <w:lang w:val="af-ZA"/>
        </w:rPr>
        <w:t xml:space="preserve">  </w:t>
      </w:r>
      <w:r w:rsidRPr="00D428BA">
        <w:rPr>
          <w:rFonts w:ascii="Arial" w:hAnsi="Arial" w:cs="Arial"/>
          <w:noProof/>
          <w:lang w:val="af-ZA"/>
        </w:rPr>
        <w:t>(i) &amp; (ii)</w:t>
      </w:r>
      <w:r w:rsidRPr="00D428BA">
        <w:rPr>
          <w:rFonts w:ascii="Arial" w:hAnsi="Arial" w:cs="Arial"/>
          <w:noProof/>
          <w:lang w:val="af-ZA"/>
        </w:rPr>
        <w:tab/>
        <w:t>Please see above.</w:t>
      </w:r>
    </w:p>
    <w:p w14:paraId="786AC7F3" w14:textId="77777777" w:rsidR="000F782D" w:rsidRPr="00AB730D" w:rsidRDefault="000F782D" w:rsidP="000F782D">
      <w:pPr>
        <w:spacing w:before="100" w:beforeAutospacing="1" w:after="100" w:afterAutospacing="1" w:line="240" w:lineRule="auto"/>
        <w:ind w:left="900"/>
        <w:jc w:val="both"/>
        <w:outlineLvl w:val="0"/>
        <w:rPr>
          <w:rFonts w:ascii="Arial" w:hAnsi="Arial" w:cs="Arial"/>
          <w:noProof/>
          <w:lang w:val="af-ZA"/>
        </w:rPr>
      </w:pPr>
      <w:r w:rsidRPr="00AB730D">
        <w:rPr>
          <w:rFonts w:ascii="Arial" w:hAnsi="Arial" w:cs="Arial"/>
          <w:noProof/>
          <w:lang w:val="af-ZA"/>
        </w:rPr>
        <w:tab/>
      </w:r>
      <w:r w:rsidRPr="00AB730D">
        <w:rPr>
          <w:rFonts w:ascii="Arial" w:hAnsi="Arial" w:cs="Arial"/>
          <w:noProof/>
          <w:lang w:val="af-ZA"/>
        </w:rPr>
        <w:tab/>
      </w:r>
      <w:r w:rsidRPr="00AB730D">
        <w:rPr>
          <w:rFonts w:ascii="Arial" w:hAnsi="Arial" w:cs="Arial"/>
          <w:noProof/>
          <w:lang w:val="af-ZA"/>
        </w:rPr>
        <w:tab/>
      </w:r>
      <w:r w:rsidRPr="00AB730D">
        <w:rPr>
          <w:rFonts w:ascii="Arial" w:hAnsi="Arial" w:cs="Arial"/>
          <w:noProof/>
          <w:lang w:val="af-ZA"/>
        </w:rPr>
        <w:tab/>
      </w:r>
      <w:r w:rsidRPr="00AB730D">
        <w:rPr>
          <w:rFonts w:ascii="Arial" w:hAnsi="Arial" w:cs="Arial"/>
          <w:noProof/>
          <w:lang w:val="af-ZA"/>
        </w:rPr>
        <w:tab/>
      </w:r>
      <w:r w:rsidRPr="00AB730D">
        <w:rPr>
          <w:rFonts w:ascii="Arial" w:hAnsi="Arial" w:cs="Arial"/>
          <w:noProof/>
          <w:lang w:val="af-ZA"/>
        </w:rPr>
        <w:tab/>
      </w:r>
    </w:p>
    <w:p w14:paraId="3385A572" w14:textId="77777777" w:rsidR="000F782D" w:rsidRPr="00AB730D" w:rsidRDefault="000F782D" w:rsidP="000F782D">
      <w:pPr>
        <w:rPr>
          <w:rFonts w:ascii="Arial" w:hAnsi="Arial" w:cs="Arial"/>
          <w:b/>
          <w:lang w:val="en-ZA" w:eastAsia="x-none"/>
        </w:rPr>
      </w:pPr>
    </w:p>
    <w:p w14:paraId="2928DD1C" w14:textId="77777777" w:rsidR="005225EF" w:rsidRDefault="005225EF" w:rsidP="005225EF">
      <w:pPr>
        <w:rPr>
          <w:lang w:val="en-ZA" w:eastAsia="x-none"/>
        </w:rPr>
      </w:pPr>
    </w:p>
    <w:p w14:paraId="1FB734B8" w14:textId="77777777" w:rsidR="005225EF" w:rsidRDefault="005225EF" w:rsidP="005225EF">
      <w:pPr>
        <w:rPr>
          <w:lang w:val="en-ZA" w:eastAsia="x-none"/>
        </w:rPr>
      </w:pPr>
    </w:p>
    <w:p w14:paraId="526E3D80" w14:textId="77777777" w:rsidR="005225EF" w:rsidRDefault="005225EF" w:rsidP="005225EF">
      <w:pPr>
        <w:rPr>
          <w:lang w:val="en-ZA" w:eastAsia="x-none"/>
        </w:rPr>
      </w:pPr>
    </w:p>
    <w:p w14:paraId="6A3A3C5A" w14:textId="77777777" w:rsidR="005225EF" w:rsidRDefault="005225EF" w:rsidP="005225EF">
      <w:pPr>
        <w:rPr>
          <w:lang w:val="en-ZA" w:eastAsia="x-none"/>
        </w:rPr>
      </w:pPr>
    </w:p>
    <w:p w14:paraId="572A3544" w14:textId="77777777" w:rsidR="005225EF" w:rsidRPr="005225EF" w:rsidRDefault="005225EF" w:rsidP="005225EF">
      <w:pPr>
        <w:rPr>
          <w:lang w:val="en-ZA" w:eastAsia="x-none"/>
        </w:rPr>
      </w:pPr>
    </w:p>
    <w:p w14:paraId="094A531D" w14:textId="77777777" w:rsidR="005225EF" w:rsidRDefault="005225EF" w:rsidP="005225EF">
      <w:pPr>
        <w:rPr>
          <w:lang w:val="en-ZA" w:eastAsia="x-none"/>
        </w:rPr>
      </w:pPr>
    </w:p>
    <w:p w14:paraId="0363381C" w14:textId="77777777" w:rsidR="005225EF" w:rsidRDefault="005225EF" w:rsidP="005225EF">
      <w:pPr>
        <w:rPr>
          <w:lang w:val="en-ZA" w:eastAsia="x-none"/>
        </w:rPr>
      </w:pPr>
    </w:p>
    <w:p w14:paraId="106C42F9" w14:textId="77777777" w:rsidR="005225EF" w:rsidRDefault="005225EF" w:rsidP="005225EF">
      <w:pPr>
        <w:rPr>
          <w:lang w:val="en-ZA" w:eastAsia="x-none"/>
        </w:rPr>
      </w:pPr>
    </w:p>
    <w:p w14:paraId="2451F1CC" w14:textId="77777777" w:rsidR="005225EF" w:rsidRPr="005225EF" w:rsidRDefault="005225EF" w:rsidP="005225EF">
      <w:pPr>
        <w:rPr>
          <w:lang w:val="en-ZA" w:eastAsia="x-none"/>
        </w:rPr>
      </w:pPr>
    </w:p>
    <w:sectPr w:rsidR="005225EF" w:rsidRPr="005225EF" w:rsidSect="00DE0A10">
      <w:pgSz w:w="12240" w:h="15840"/>
      <w:pgMar w:top="568"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15:restartNumberingAfterBreak="0">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15:restartNumberingAfterBreak="0">
    <w:nsid w:val="02C90287"/>
    <w:multiLevelType w:val="hybridMultilevel"/>
    <w:tmpl w:val="5590E31A"/>
    <w:lvl w:ilvl="0" w:tplc="026891A8">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15:restartNumberingAfterBreak="0">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9"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9" w15:restartNumberingAfterBreak="0">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B465DF3"/>
    <w:multiLevelType w:val="hybridMultilevel"/>
    <w:tmpl w:val="DA4C4DEE"/>
    <w:lvl w:ilvl="0" w:tplc="1C09000B">
      <w:start w:val="1"/>
      <w:numFmt w:val="bullet"/>
      <w:lvlText w:val=""/>
      <w:lvlJc w:val="left"/>
      <w:pPr>
        <w:ind w:left="1650" w:hanging="360"/>
      </w:pPr>
      <w:rPr>
        <w:rFonts w:ascii="Wingdings" w:hAnsi="Wingdings" w:hint="default"/>
      </w:rPr>
    </w:lvl>
    <w:lvl w:ilvl="1" w:tplc="1C090003" w:tentative="1">
      <w:start w:val="1"/>
      <w:numFmt w:val="bullet"/>
      <w:lvlText w:val="o"/>
      <w:lvlJc w:val="left"/>
      <w:pPr>
        <w:ind w:left="2370" w:hanging="360"/>
      </w:pPr>
      <w:rPr>
        <w:rFonts w:ascii="Courier New" w:hAnsi="Courier New" w:cs="Courier New" w:hint="default"/>
      </w:rPr>
    </w:lvl>
    <w:lvl w:ilvl="2" w:tplc="1C090005" w:tentative="1">
      <w:start w:val="1"/>
      <w:numFmt w:val="bullet"/>
      <w:lvlText w:val=""/>
      <w:lvlJc w:val="left"/>
      <w:pPr>
        <w:ind w:left="3090" w:hanging="360"/>
      </w:pPr>
      <w:rPr>
        <w:rFonts w:ascii="Wingdings" w:hAnsi="Wingdings" w:hint="default"/>
      </w:rPr>
    </w:lvl>
    <w:lvl w:ilvl="3" w:tplc="1C090001" w:tentative="1">
      <w:start w:val="1"/>
      <w:numFmt w:val="bullet"/>
      <w:lvlText w:val=""/>
      <w:lvlJc w:val="left"/>
      <w:pPr>
        <w:ind w:left="3810" w:hanging="360"/>
      </w:pPr>
      <w:rPr>
        <w:rFonts w:ascii="Symbol" w:hAnsi="Symbol" w:hint="default"/>
      </w:rPr>
    </w:lvl>
    <w:lvl w:ilvl="4" w:tplc="1C090003" w:tentative="1">
      <w:start w:val="1"/>
      <w:numFmt w:val="bullet"/>
      <w:lvlText w:val="o"/>
      <w:lvlJc w:val="left"/>
      <w:pPr>
        <w:ind w:left="4530" w:hanging="360"/>
      </w:pPr>
      <w:rPr>
        <w:rFonts w:ascii="Courier New" w:hAnsi="Courier New" w:cs="Courier New" w:hint="default"/>
      </w:rPr>
    </w:lvl>
    <w:lvl w:ilvl="5" w:tplc="1C090005" w:tentative="1">
      <w:start w:val="1"/>
      <w:numFmt w:val="bullet"/>
      <w:lvlText w:val=""/>
      <w:lvlJc w:val="left"/>
      <w:pPr>
        <w:ind w:left="5250" w:hanging="360"/>
      </w:pPr>
      <w:rPr>
        <w:rFonts w:ascii="Wingdings" w:hAnsi="Wingdings" w:hint="default"/>
      </w:rPr>
    </w:lvl>
    <w:lvl w:ilvl="6" w:tplc="1C090001" w:tentative="1">
      <w:start w:val="1"/>
      <w:numFmt w:val="bullet"/>
      <w:lvlText w:val=""/>
      <w:lvlJc w:val="left"/>
      <w:pPr>
        <w:ind w:left="5970" w:hanging="360"/>
      </w:pPr>
      <w:rPr>
        <w:rFonts w:ascii="Symbol" w:hAnsi="Symbol" w:hint="default"/>
      </w:rPr>
    </w:lvl>
    <w:lvl w:ilvl="7" w:tplc="1C090003" w:tentative="1">
      <w:start w:val="1"/>
      <w:numFmt w:val="bullet"/>
      <w:lvlText w:val="o"/>
      <w:lvlJc w:val="left"/>
      <w:pPr>
        <w:ind w:left="6690" w:hanging="360"/>
      </w:pPr>
      <w:rPr>
        <w:rFonts w:ascii="Courier New" w:hAnsi="Courier New" w:cs="Courier New" w:hint="default"/>
      </w:rPr>
    </w:lvl>
    <w:lvl w:ilvl="8" w:tplc="1C090005" w:tentative="1">
      <w:start w:val="1"/>
      <w:numFmt w:val="bullet"/>
      <w:lvlText w:val=""/>
      <w:lvlJc w:val="left"/>
      <w:pPr>
        <w:ind w:left="7410" w:hanging="360"/>
      </w:pPr>
      <w:rPr>
        <w:rFonts w:ascii="Wingdings" w:hAnsi="Wingdings" w:hint="default"/>
      </w:rPr>
    </w:lvl>
  </w:abstractNum>
  <w:abstractNum w:abstractNumId="33" w15:restartNumberingAfterBreak="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6AB90FBD"/>
    <w:multiLevelType w:val="hybridMultilevel"/>
    <w:tmpl w:val="EC0666F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4"/>
  </w:num>
  <w:num w:numId="4">
    <w:abstractNumId w:val="7"/>
  </w:num>
  <w:num w:numId="5">
    <w:abstractNumId w:val="38"/>
  </w:num>
  <w:num w:numId="6">
    <w:abstractNumId w:val="43"/>
  </w:num>
  <w:num w:numId="7">
    <w:abstractNumId w:val="34"/>
  </w:num>
  <w:num w:numId="8">
    <w:abstractNumId w:val="2"/>
  </w:num>
  <w:num w:numId="9">
    <w:abstractNumId w:val="19"/>
  </w:num>
  <w:num w:numId="10">
    <w:abstractNumId w:val="14"/>
  </w:num>
  <w:num w:numId="11">
    <w:abstractNumId w:val="18"/>
  </w:num>
  <w:num w:numId="12">
    <w:abstractNumId w:val="30"/>
  </w:num>
  <w:num w:numId="13">
    <w:abstractNumId w:val="15"/>
  </w:num>
  <w:num w:numId="14">
    <w:abstractNumId w:val="9"/>
  </w:num>
  <w:num w:numId="15">
    <w:abstractNumId w:val="45"/>
  </w:num>
  <w:num w:numId="16">
    <w:abstractNumId w:val="29"/>
  </w:num>
  <w:num w:numId="17">
    <w:abstractNumId w:val="16"/>
  </w:num>
  <w:num w:numId="18">
    <w:abstractNumId w:val="47"/>
  </w:num>
  <w:num w:numId="19">
    <w:abstractNumId w:val="8"/>
  </w:num>
  <w:num w:numId="20">
    <w:abstractNumId w:val="12"/>
  </w:num>
  <w:num w:numId="21">
    <w:abstractNumId w:val="25"/>
  </w:num>
  <w:num w:numId="22">
    <w:abstractNumId w:val="42"/>
  </w:num>
  <w:num w:numId="23">
    <w:abstractNumId w:val="6"/>
  </w:num>
  <w:num w:numId="24">
    <w:abstractNumId w:val="33"/>
  </w:num>
  <w:num w:numId="25">
    <w:abstractNumId w:val="26"/>
  </w:num>
  <w:num w:numId="26">
    <w:abstractNumId w:val="17"/>
  </w:num>
  <w:num w:numId="27">
    <w:abstractNumId w:val="1"/>
  </w:num>
  <w:num w:numId="28">
    <w:abstractNumId w:val="0"/>
  </w:num>
  <w:num w:numId="29">
    <w:abstractNumId w:val="37"/>
  </w:num>
  <w:num w:numId="30">
    <w:abstractNumId w:val="5"/>
  </w:num>
  <w:num w:numId="31">
    <w:abstractNumId w:val="22"/>
  </w:num>
  <w:num w:numId="32">
    <w:abstractNumId w:val="21"/>
  </w:num>
  <w:num w:numId="33">
    <w:abstractNumId w:val="31"/>
  </w:num>
  <w:num w:numId="34">
    <w:abstractNumId w:val="24"/>
  </w:num>
  <w:num w:numId="35">
    <w:abstractNumId w:val="36"/>
  </w:num>
  <w:num w:numId="36">
    <w:abstractNumId w:val="10"/>
  </w:num>
  <w:num w:numId="37">
    <w:abstractNumId w:val="44"/>
  </w:num>
  <w:num w:numId="38">
    <w:abstractNumId w:val="41"/>
  </w:num>
  <w:num w:numId="39">
    <w:abstractNumId w:val="35"/>
  </w:num>
  <w:num w:numId="40">
    <w:abstractNumId w:val="11"/>
  </w:num>
  <w:num w:numId="41">
    <w:abstractNumId w:val="27"/>
  </w:num>
  <w:num w:numId="42">
    <w:abstractNumId w:val="20"/>
  </w:num>
  <w:num w:numId="43">
    <w:abstractNumId w:val="39"/>
  </w:num>
  <w:num w:numId="44">
    <w:abstractNumId w:val="46"/>
  </w:num>
  <w:num w:numId="45">
    <w:abstractNumId w:val="28"/>
  </w:num>
  <w:num w:numId="46">
    <w:abstractNumId w:val="40"/>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0F782D"/>
    <w:rsid w:val="00130AB5"/>
    <w:rsid w:val="00131EBD"/>
    <w:rsid w:val="0013407E"/>
    <w:rsid w:val="00135217"/>
    <w:rsid w:val="00151529"/>
    <w:rsid w:val="00153AAD"/>
    <w:rsid w:val="00156DFD"/>
    <w:rsid w:val="001712B4"/>
    <w:rsid w:val="00173751"/>
    <w:rsid w:val="001828D3"/>
    <w:rsid w:val="001B2E53"/>
    <w:rsid w:val="001C323C"/>
    <w:rsid w:val="001C32E4"/>
    <w:rsid w:val="001E1B86"/>
    <w:rsid w:val="001F0CED"/>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1C69"/>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3781"/>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06F67"/>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A7F0C"/>
    <w:rsid w:val="005D5448"/>
    <w:rsid w:val="005E123E"/>
    <w:rsid w:val="005F20B1"/>
    <w:rsid w:val="005F3F35"/>
    <w:rsid w:val="005F630B"/>
    <w:rsid w:val="006009A0"/>
    <w:rsid w:val="00604285"/>
    <w:rsid w:val="006140CA"/>
    <w:rsid w:val="00637B39"/>
    <w:rsid w:val="006748E3"/>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F0FBD"/>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0374"/>
    <w:rsid w:val="008C2F92"/>
    <w:rsid w:val="008E13A6"/>
    <w:rsid w:val="008F0979"/>
    <w:rsid w:val="00916A9F"/>
    <w:rsid w:val="00916CE7"/>
    <w:rsid w:val="00926370"/>
    <w:rsid w:val="00926938"/>
    <w:rsid w:val="0093674F"/>
    <w:rsid w:val="009405C3"/>
    <w:rsid w:val="00945835"/>
    <w:rsid w:val="00957D66"/>
    <w:rsid w:val="00961E2F"/>
    <w:rsid w:val="009763BA"/>
    <w:rsid w:val="0097652F"/>
    <w:rsid w:val="00983EC7"/>
    <w:rsid w:val="00985118"/>
    <w:rsid w:val="00990CE2"/>
    <w:rsid w:val="00992AA4"/>
    <w:rsid w:val="00993310"/>
    <w:rsid w:val="009A0286"/>
    <w:rsid w:val="009A4739"/>
    <w:rsid w:val="009B043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77F2"/>
    <w:rsid w:val="00B21162"/>
    <w:rsid w:val="00B21C1C"/>
    <w:rsid w:val="00B31016"/>
    <w:rsid w:val="00B32459"/>
    <w:rsid w:val="00B40FCE"/>
    <w:rsid w:val="00B433E2"/>
    <w:rsid w:val="00B469A3"/>
    <w:rsid w:val="00B47C13"/>
    <w:rsid w:val="00B56227"/>
    <w:rsid w:val="00B66DDB"/>
    <w:rsid w:val="00B93309"/>
    <w:rsid w:val="00B95F63"/>
    <w:rsid w:val="00BA3834"/>
    <w:rsid w:val="00BA4847"/>
    <w:rsid w:val="00BB5EA4"/>
    <w:rsid w:val="00BC06BD"/>
    <w:rsid w:val="00BC2F3F"/>
    <w:rsid w:val="00BD65B7"/>
    <w:rsid w:val="00BF349B"/>
    <w:rsid w:val="00BF68B6"/>
    <w:rsid w:val="00BF69C4"/>
    <w:rsid w:val="00C202CB"/>
    <w:rsid w:val="00C33C1E"/>
    <w:rsid w:val="00C34A9F"/>
    <w:rsid w:val="00C50D10"/>
    <w:rsid w:val="00C6207A"/>
    <w:rsid w:val="00C62268"/>
    <w:rsid w:val="00C64770"/>
    <w:rsid w:val="00C731ED"/>
    <w:rsid w:val="00C92817"/>
    <w:rsid w:val="00CB640B"/>
    <w:rsid w:val="00CC164A"/>
    <w:rsid w:val="00CE1573"/>
    <w:rsid w:val="00CE54D8"/>
    <w:rsid w:val="00CF5BC7"/>
    <w:rsid w:val="00D12E4F"/>
    <w:rsid w:val="00D222DF"/>
    <w:rsid w:val="00D40B21"/>
    <w:rsid w:val="00D428BA"/>
    <w:rsid w:val="00D444E5"/>
    <w:rsid w:val="00D74AD1"/>
    <w:rsid w:val="00D82AB0"/>
    <w:rsid w:val="00D92CFD"/>
    <w:rsid w:val="00D92F30"/>
    <w:rsid w:val="00DA1E37"/>
    <w:rsid w:val="00DD3A8F"/>
    <w:rsid w:val="00DD4D78"/>
    <w:rsid w:val="00DE0A10"/>
    <w:rsid w:val="00DE5D58"/>
    <w:rsid w:val="00DF6F27"/>
    <w:rsid w:val="00E00BA3"/>
    <w:rsid w:val="00E1610F"/>
    <w:rsid w:val="00E16B9F"/>
    <w:rsid w:val="00E24CB8"/>
    <w:rsid w:val="00E26225"/>
    <w:rsid w:val="00E31BF8"/>
    <w:rsid w:val="00E37C58"/>
    <w:rsid w:val="00E4370C"/>
    <w:rsid w:val="00E458BE"/>
    <w:rsid w:val="00E53BF6"/>
    <w:rsid w:val="00E57A4E"/>
    <w:rsid w:val="00E6154F"/>
    <w:rsid w:val="00E676A3"/>
    <w:rsid w:val="00E74736"/>
    <w:rsid w:val="00E80B27"/>
    <w:rsid w:val="00E81167"/>
    <w:rsid w:val="00E83B34"/>
    <w:rsid w:val="00EB53F1"/>
    <w:rsid w:val="00EC4D69"/>
    <w:rsid w:val="00EC68CF"/>
    <w:rsid w:val="00EF2397"/>
    <w:rsid w:val="00EF5FED"/>
    <w:rsid w:val="00EF7862"/>
    <w:rsid w:val="00F00B6B"/>
    <w:rsid w:val="00F25A2B"/>
    <w:rsid w:val="00F3377C"/>
    <w:rsid w:val="00F33DA9"/>
    <w:rsid w:val="00F41319"/>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05E3D"/>
  <w15:docId w15:val="{242C0B5A-5A9E-4D0B-81D2-36F9612B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E536-CAB9-4733-BFC9-E16CF3F3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Sehlabela Chuene</cp:lastModifiedBy>
  <cp:revision>2</cp:revision>
  <cp:lastPrinted>2016-09-15T13:31:00Z</cp:lastPrinted>
  <dcterms:created xsi:type="dcterms:W3CDTF">2016-09-20T06:57:00Z</dcterms:created>
  <dcterms:modified xsi:type="dcterms:W3CDTF">2016-09-20T06:57:00Z</dcterms:modified>
</cp:coreProperties>
</file>