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99" w:rsidRDefault="00736899" w:rsidP="008C732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736899" w:rsidRDefault="00736899" w:rsidP="008C732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No: 1757</w:t>
      </w:r>
    </w:p>
    <w:p w:rsidR="00F76E39" w:rsidRPr="00F76E39" w:rsidRDefault="00F76E39" w:rsidP="008C732F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76E39">
        <w:rPr>
          <w:rFonts w:ascii="Arial" w:hAnsi="Arial" w:cs="Arial"/>
          <w:b/>
          <w:sz w:val="22"/>
          <w:szCs w:val="22"/>
        </w:rPr>
        <w:t>Mrs</w:t>
      </w:r>
      <w:r w:rsidRPr="00F76E39">
        <w:rPr>
          <w:rFonts w:ascii="Arial" w:hAnsi="Arial" w:cs="Arial"/>
          <w:b/>
          <w:sz w:val="22"/>
          <w:szCs w:val="22"/>
          <w:lang w:val="en-US"/>
        </w:rPr>
        <w:t xml:space="preserve"> M R </w:t>
      </w:r>
      <w:proofErr w:type="spellStart"/>
      <w:r w:rsidRPr="00F76E39">
        <w:rPr>
          <w:rFonts w:ascii="Arial" w:hAnsi="Arial" w:cs="Arial"/>
          <w:b/>
          <w:sz w:val="22"/>
          <w:szCs w:val="22"/>
          <w:lang w:val="en-US"/>
        </w:rPr>
        <w:t>Mohlala</w:t>
      </w:r>
      <w:proofErr w:type="spellEnd"/>
      <w:r w:rsidRPr="00F76E39">
        <w:rPr>
          <w:rFonts w:ascii="Arial" w:hAnsi="Arial" w:cs="Arial"/>
          <w:b/>
          <w:sz w:val="22"/>
          <w:szCs w:val="22"/>
          <w:lang w:val="en-US"/>
        </w:rPr>
        <w:t xml:space="preserve"> (EFF) to ask the Minister of Transport</w:t>
      </w:r>
      <w:r w:rsidRPr="00F76E39">
        <w:rPr>
          <w:rFonts w:ascii="Arial" w:hAnsi="Arial" w:cs="Arial"/>
          <w:b/>
          <w:sz w:val="22"/>
          <w:szCs w:val="22"/>
          <w:lang w:val="en-US"/>
        </w:rPr>
        <w:fldChar w:fldCharType="begin"/>
      </w:r>
      <w:r w:rsidRPr="00F76E39">
        <w:rPr>
          <w:rFonts w:ascii="Arial" w:hAnsi="Arial" w:cs="Arial"/>
          <w:sz w:val="22"/>
          <w:szCs w:val="22"/>
        </w:rPr>
        <w:instrText xml:space="preserve"> XE "</w:instrText>
      </w:r>
      <w:r w:rsidRPr="00F76E39">
        <w:rPr>
          <w:rFonts w:ascii="Arial" w:hAnsi="Arial" w:cs="Arial"/>
          <w:b/>
          <w:sz w:val="22"/>
          <w:szCs w:val="22"/>
        </w:rPr>
        <w:instrText>Transport</w:instrText>
      </w:r>
      <w:r w:rsidRPr="00F76E39">
        <w:rPr>
          <w:rFonts w:ascii="Arial" w:hAnsi="Arial" w:cs="Arial"/>
          <w:sz w:val="22"/>
          <w:szCs w:val="22"/>
        </w:rPr>
        <w:instrText xml:space="preserve">" </w:instrText>
      </w:r>
      <w:r w:rsidRPr="00F76E39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F76E39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D0E5A" w:rsidRPr="00736899" w:rsidRDefault="00F76E39" w:rsidP="005D0E5A">
      <w:pPr>
        <w:numPr>
          <w:ilvl w:val="0"/>
          <w:numId w:val="22"/>
        </w:numPr>
        <w:spacing w:before="100" w:beforeAutospacing="1" w:after="100" w:afterAutospacing="1" w:line="276" w:lineRule="auto"/>
        <w:ind w:left="567" w:hanging="567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736899">
        <w:rPr>
          <w:rFonts w:ascii="Arial" w:hAnsi="Arial" w:cs="Arial"/>
          <w:bCs/>
          <w:sz w:val="22"/>
          <w:szCs w:val="22"/>
          <w:lang w:val="en-US"/>
        </w:rPr>
        <w:t xml:space="preserve">What is the national backlog in respect of the issuing of operating </w:t>
      </w:r>
      <w:proofErr w:type="spellStart"/>
      <w:r w:rsidRPr="00736899">
        <w:rPr>
          <w:rFonts w:ascii="Arial" w:hAnsi="Arial" w:cs="Arial"/>
          <w:bCs/>
          <w:sz w:val="22"/>
          <w:szCs w:val="22"/>
          <w:lang w:val="en-US"/>
        </w:rPr>
        <w:t>licences</w:t>
      </w:r>
      <w:proofErr w:type="spellEnd"/>
      <w:r w:rsidRPr="00736899">
        <w:rPr>
          <w:rFonts w:ascii="Arial" w:hAnsi="Arial" w:cs="Arial"/>
          <w:bCs/>
          <w:sz w:val="22"/>
          <w:szCs w:val="22"/>
          <w:lang w:val="en-US"/>
        </w:rPr>
        <w:t xml:space="preserve"> to taxi operators, (b) what has he found to be the cause of the delays and (c) on what date is it envisag</w:t>
      </w:r>
      <w:r w:rsidR="00FC72E8" w:rsidRPr="00736899">
        <w:rPr>
          <w:rFonts w:ascii="Arial" w:hAnsi="Arial" w:cs="Arial"/>
          <w:bCs/>
          <w:sz w:val="22"/>
          <w:szCs w:val="22"/>
          <w:lang w:val="en-US"/>
        </w:rPr>
        <w:t xml:space="preserve">ed he will fix the problem? </w:t>
      </w:r>
    </w:p>
    <w:p w:rsidR="00F76E39" w:rsidRPr="00F76E39" w:rsidRDefault="00F76E39" w:rsidP="008C732F">
      <w:pPr>
        <w:spacing w:before="100" w:beforeAutospacing="1" w:after="100" w:afterAutospacing="1" w:line="276" w:lineRule="auto"/>
        <w:ind w:left="7560"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F76E39">
        <w:rPr>
          <w:rFonts w:ascii="Arial" w:hAnsi="Arial" w:cs="Arial"/>
          <w:sz w:val="22"/>
          <w:szCs w:val="22"/>
        </w:rPr>
        <w:t>NW1968E</w:t>
      </w:r>
    </w:p>
    <w:p w:rsidR="0082465F" w:rsidRPr="00CB2AB7" w:rsidRDefault="00431FFB" w:rsidP="008C73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4C1BD0" w:rsidRDefault="000D6204" w:rsidP="00AD49D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Currently, the issuing of operating licenses to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T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>axi operators is</w:t>
      </w:r>
      <w:r w:rsidR="001F37BE" w:rsidRPr="0088789D">
        <w:rPr>
          <w:rFonts w:ascii="Arial" w:eastAsia="Calibri" w:hAnsi="Arial" w:cs="Arial"/>
          <w:color w:val="000000"/>
          <w:sz w:val="22"/>
          <w:szCs w:val="22"/>
        </w:rPr>
        <w:t xml:space="preserve"> the responsibility of </w:t>
      </w:r>
      <w:r w:rsidR="000C3717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="001F37BE" w:rsidRPr="0088789D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>Provincial Regulatory Enti</w:t>
      </w:r>
      <w:r w:rsidR="00905A43">
        <w:rPr>
          <w:rFonts w:ascii="Arial" w:eastAsia="Calibri" w:hAnsi="Arial" w:cs="Arial"/>
          <w:color w:val="000000"/>
          <w:sz w:val="22"/>
          <w:szCs w:val="22"/>
        </w:rPr>
        <w:t>tie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s (PREs) in the respective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rovinces. 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In order to determine a national backlog in respect of the issuing of operating licenses to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T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>axi operators, the Departm</w:t>
      </w:r>
      <w:r w:rsidR="00551950" w:rsidRPr="0088789D">
        <w:rPr>
          <w:rFonts w:ascii="Arial" w:eastAsia="Calibri" w:hAnsi="Arial" w:cs="Arial"/>
          <w:color w:val="000000"/>
          <w:sz w:val="22"/>
          <w:szCs w:val="22"/>
        </w:rPr>
        <w:t xml:space="preserve">ent, on 05 November 2021, </w:t>
      </w:r>
      <w:r w:rsidR="00C9755C" w:rsidRPr="0088789D">
        <w:rPr>
          <w:rFonts w:ascii="Arial" w:eastAsia="Calibri" w:hAnsi="Arial" w:cs="Arial"/>
          <w:color w:val="000000"/>
          <w:sz w:val="22"/>
          <w:szCs w:val="22"/>
        </w:rPr>
        <w:t>requested each of the nine (9)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 to submit details of their backlogs, the causes of the delays and indications of when the backlogs will be dealt with. </w:t>
      </w:r>
    </w:p>
    <w:p w:rsidR="00E93A6E" w:rsidRDefault="00E93A6E" w:rsidP="008C732F">
      <w:pPr>
        <w:spacing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D0E5A" w:rsidRDefault="005D0E5A" w:rsidP="008C732F">
      <w:pPr>
        <w:spacing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D0E5A" w:rsidRDefault="005D0E5A" w:rsidP="008C732F">
      <w:pPr>
        <w:spacing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D0E5A" w:rsidRPr="0088789D" w:rsidRDefault="005D0E5A" w:rsidP="008C732F">
      <w:pPr>
        <w:spacing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CA52A1" w:rsidRPr="0088789D" w:rsidRDefault="00551950" w:rsidP="00AD49D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8789D">
        <w:rPr>
          <w:rFonts w:ascii="Arial" w:eastAsia="Calibri" w:hAnsi="Arial" w:cs="Arial"/>
          <w:color w:val="000000"/>
          <w:sz w:val="22"/>
          <w:szCs w:val="22"/>
        </w:rPr>
        <w:t>T</w:t>
      </w:r>
      <w:r w:rsidR="002E3A15" w:rsidRPr="0088789D">
        <w:rPr>
          <w:rFonts w:ascii="Arial" w:eastAsia="Calibri" w:hAnsi="Arial" w:cs="Arial"/>
          <w:color w:val="000000"/>
          <w:sz w:val="22"/>
          <w:szCs w:val="22"/>
        </w:rPr>
        <w:t>o date, only seven</w:t>
      </w:r>
      <w:r w:rsidR="00C9755C" w:rsidRPr="0088789D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2E3A15" w:rsidRPr="0088789D">
        <w:rPr>
          <w:rFonts w:ascii="Arial" w:eastAsia="Calibri" w:hAnsi="Arial" w:cs="Arial"/>
          <w:color w:val="000000"/>
          <w:sz w:val="22"/>
          <w:szCs w:val="22"/>
        </w:rPr>
        <w:t>7</w:t>
      </w:r>
      <w:r w:rsidR="00C9755C" w:rsidRPr="0088789D">
        <w:rPr>
          <w:rFonts w:ascii="Arial" w:eastAsia="Calibri" w:hAnsi="Arial" w:cs="Arial"/>
          <w:color w:val="000000"/>
          <w:sz w:val="22"/>
          <w:szCs w:val="22"/>
        </w:rPr>
        <w:t>)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 have </w:t>
      </w:r>
      <w:proofErr w:type="gramStart"/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>responded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>,</w:t>
      </w:r>
      <w:proofErr w:type="gramEnd"/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namely the Eastern </w:t>
      </w:r>
      <w:r w:rsidR="00EB5956" w:rsidRPr="0088789D">
        <w:rPr>
          <w:rFonts w:ascii="Arial" w:eastAsia="Calibri" w:hAnsi="Arial" w:cs="Arial"/>
          <w:color w:val="000000"/>
          <w:sz w:val="22"/>
          <w:szCs w:val="22"/>
        </w:rPr>
        <w:t xml:space="preserve">Cape, </w:t>
      </w:r>
      <w:r w:rsidR="00EB5956">
        <w:rPr>
          <w:rFonts w:ascii="Arial" w:eastAsia="Calibri" w:hAnsi="Arial" w:cs="Arial"/>
          <w:color w:val="000000"/>
          <w:sz w:val="22"/>
          <w:szCs w:val="22"/>
        </w:rPr>
        <w:t>Western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Cape, Northern Cape, Kwa Zulu Natal, Free </w:t>
      </w:r>
      <w:r w:rsidR="002E3A15" w:rsidRPr="0088789D">
        <w:rPr>
          <w:rFonts w:ascii="Arial" w:eastAsia="Calibri" w:hAnsi="Arial" w:cs="Arial"/>
          <w:color w:val="000000"/>
          <w:sz w:val="22"/>
          <w:szCs w:val="22"/>
        </w:rPr>
        <w:t>State, Limpopo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and Mpumalanga province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>.</w:t>
      </w:r>
      <w:r w:rsidR="002E3A15" w:rsidRPr="0088789D">
        <w:rPr>
          <w:rFonts w:ascii="Arial" w:eastAsia="Calibri" w:hAnsi="Arial" w:cs="Arial"/>
          <w:color w:val="000000"/>
          <w:sz w:val="22"/>
          <w:szCs w:val="22"/>
        </w:rPr>
        <w:t xml:space="preserve"> The Gauteng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and North West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 have not yet responded. 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The Eastern Cape and Western Cape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 have indicated that they have no backlog in respect of issuing of operating licenses to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T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axi operators in their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="004C1BD0"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rovinces.  </w:t>
      </w:r>
    </w:p>
    <w:p w:rsidR="00551950" w:rsidRDefault="00551950" w:rsidP="008C732F">
      <w:pPr>
        <w:spacing w:line="276" w:lineRule="auto"/>
        <w:jc w:val="both"/>
        <w:rPr>
          <w:rFonts w:ascii="Arial" w:eastAsia="Calibri" w:hAnsi="Arial" w:cs="Arial"/>
          <w:color w:val="5B9BD5"/>
          <w:sz w:val="22"/>
          <w:szCs w:val="22"/>
        </w:rPr>
      </w:pPr>
    </w:p>
    <w:p w:rsidR="00A734E7" w:rsidRPr="0088789D" w:rsidRDefault="004C550A" w:rsidP="00AD49D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8789D">
        <w:rPr>
          <w:rFonts w:ascii="Arial" w:eastAsia="Calibri" w:hAnsi="Arial" w:cs="Arial"/>
          <w:color w:val="000000"/>
          <w:sz w:val="22"/>
          <w:szCs w:val="22"/>
        </w:rPr>
        <w:t>T</w:t>
      </w:r>
      <w:r w:rsidR="00551950" w:rsidRPr="0088789D">
        <w:rPr>
          <w:rFonts w:ascii="Arial" w:eastAsia="Calibri" w:hAnsi="Arial" w:cs="Arial"/>
          <w:color w:val="000000"/>
          <w:sz w:val="22"/>
          <w:szCs w:val="22"/>
        </w:rPr>
        <w:t>here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Pr="0088789D">
        <w:rPr>
          <w:rFonts w:ascii="Arial" w:eastAsia="Calibri" w:hAnsi="Arial" w:cs="Arial"/>
          <w:color w:val="000000"/>
          <w:sz w:val="22"/>
          <w:szCs w:val="22"/>
        </w:rPr>
        <w:t>is</w:t>
      </w:r>
      <w:proofErr w:type="gramEnd"/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a combined total of</w:t>
      </w:r>
      <w:r w:rsidR="00551950" w:rsidRPr="0088789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E1015" w:rsidRPr="0088789D">
        <w:rPr>
          <w:rFonts w:ascii="Arial" w:eastAsia="Calibri" w:hAnsi="Arial" w:cs="Arial"/>
          <w:color w:val="000000"/>
          <w:sz w:val="22"/>
          <w:szCs w:val="22"/>
        </w:rPr>
        <w:t>seven thousand nine hundred and twenty</w:t>
      </w:r>
      <w:r w:rsidR="007D3C85" w:rsidRPr="0088789D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CE1015" w:rsidRPr="0088789D">
        <w:rPr>
          <w:rFonts w:ascii="Arial" w:eastAsia="Calibri" w:hAnsi="Arial" w:cs="Arial"/>
          <w:b/>
          <w:color w:val="000000"/>
          <w:sz w:val="22"/>
          <w:szCs w:val="22"/>
        </w:rPr>
        <w:t>7920</w:t>
      </w:r>
      <w:r w:rsidR="007D3C85" w:rsidRPr="0088789D">
        <w:rPr>
          <w:rFonts w:ascii="Arial" w:eastAsia="Calibri" w:hAnsi="Arial" w:cs="Arial"/>
          <w:b/>
          <w:color w:val="000000"/>
          <w:sz w:val="22"/>
          <w:szCs w:val="22"/>
        </w:rPr>
        <w:t>)</w:t>
      </w:r>
      <w:r w:rsidR="00551950" w:rsidRPr="0088789D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551950" w:rsidRPr="0088789D">
        <w:rPr>
          <w:rFonts w:ascii="Arial" w:eastAsia="Calibri" w:hAnsi="Arial" w:cs="Arial"/>
          <w:color w:val="000000"/>
          <w:sz w:val="22"/>
          <w:szCs w:val="22"/>
        </w:rPr>
        <w:t xml:space="preserve">applications in backlog in respect of 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the issuing of operating licenses to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T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>axi operators as reported by Kwa</w:t>
      </w:r>
      <w:r w:rsidR="005851BF" w:rsidRPr="0088789D">
        <w:rPr>
          <w:rFonts w:ascii="Arial" w:eastAsia="Calibri" w:hAnsi="Arial" w:cs="Arial"/>
          <w:color w:val="000000"/>
          <w:sz w:val="22"/>
          <w:szCs w:val="22"/>
        </w:rPr>
        <w:t>-Z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ulu Natal, Northern </w:t>
      </w:r>
      <w:r w:rsidR="00CE1015" w:rsidRPr="0088789D">
        <w:rPr>
          <w:rFonts w:ascii="Arial" w:eastAsia="Calibri" w:hAnsi="Arial" w:cs="Arial"/>
          <w:color w:val="000000"/>
          <w:sz w:val="22"/>
          <w:szCs w:val="22"/>
        </w:rPr>
        <w:t>Cape, Limpopo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 and Free State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rovinces. The reasons for the delays vary between the slowness and unreliability of the NLTIS system and the impact of the COVID-19 pandemic. </w:t>
      </w:r>
      <w:r w:rsidR="005851BF" w:rsidRPr="0088789D">
        <w:rPr>
          <w:rFonts w:ascii="Arial" w:eastAsia="Calibri" w:hAnsi="Arial" w:cs="Arial"/>
          <w:color w:val="000000"/>
          <w:sz w:val="22"/>
          <w:szCs w:val="22"/>
        </w:rPr>
        <w:t xml:space="preserve">It is envisioned that the backlog will be dealt with </w:t>
      </w:r>
      <w:r w:rsidR="007D3C85" w:rsidRPr="0088789D">
        <w:rPr>
          <w:rFonts w:ascii="Arial" w:eastAsia="Calibri" w:hAnsi="Arial" w:cs="Arial"/>
          <w:color w:val="000000"/>
          <w:sz w:val="22"/>
          <w:szCs w:val="22"/>
        </w:rPr>
        <w:t>and finalized by 31 March 2022</w:t>
      </w:r>
      <w:bookmarkEnd w:id="0"/>
      <w:r w:rsidR="00E93A6E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A734E7" w:rsidRPr="0088789D" w:rsidRDefault="00A734E7" w:rsidP="008C732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13973" w:rsidRPr="0088789D" w:rsidRDefault="00CE7D44" w:rsidP="00AD49D9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The table below depicts the responses received from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rovinces in respect of the backlog in numbers, reasons for the delay and envisioned dates to finalize the backlog per </w:t>
      </w:r>
      <w:r w:rsidR="00E93A6E">
        <w:rPr>
          <w:rFonts w:ascii="Arial" w:eastAsia="Calibri" w:hAnsi="Arial" w:cs="Arial"/>
          <w:color w:val="000000"/>
          <w:sz w:val="22"/>
          <w:szCs w:val="22"/>
        </w:rPr>
        <w:t>P</w:t>
      </w:r>
      <w:r w:rsidRPr="0088789D">
        <w:rPr>
          <w:rFonts w:ascii="Arial" w:eastAsia="Calibri" w:hAnsi="Arial" w:cs="Arial"/>
          <w:color w:val="000000"/>
          <w:sz w:val="22"/>
          <w:szCs w:val="22"/>
        </w:rPr>
        <w:t xml:space="preserve">rovince. </w:t>
      </w:r>
    </w:p>
    <w:p w:rsidR="00CE7D44" w:rsidRDefault="00CE7D44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2"/>
        <w:gridCol w:w="2591"/>
        <w:gridCol w:w="2512"/>
      </w:tblGrid>
      <w:tr w:rsidR="00CE7D44" w:rsidRPr="0088789D" w:rsidTr="00E93A6E">
        <w:tc>
          <w:tcPr>
            <w:tcW w:w="2268" w:type="dxa"/>
            <w:shd w:val="clear" w:color="auto" w:fill="D0CECE"/>
          </w:tcPr>
          <w:p w:rsidR="00CE7D44" w:rsidRPr="0088789D" w:rsidRDefault="00CE7D44" w:rsidP="008C732F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2552" w:type="dxa"/>
            <w:shd w:val="clear" w:color="auto" w:fill="D0CECE"/>
          </w:tcPr>
          <w:p w:rsidR="00CE7D44" w:rsidRPr="0088789D" w:rsidRDefault="00AD49D9" w:rsidP="00AD49D9">
            <w:pPr>
              <w:numPr>
                <w:ilvl w:val="0"/>
                <w:numId w:val="20"/>
              </w:numPr>
              <w:spacing w:line="276" w:lineRule="auto"/>
              <w:ind w:left="313" w:hanging="284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7D44" w:rsidRPr="0088789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Backlog</w:t>
            </w:r>
            <w:r w:rsidR="00D7280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91" w:type="dxa"/>
            <w:shd w:val="clear" w:color="auto" w:fill="D0CECE"/>
          </w:tcPr>
          <w:p w:rsidR="00CE7D44" w:rsidRPr="0088789D" w:rsidRDefault="00AD49D9" w:rsidP="00AD49D9">
            <w:pPr>
              <w:numPr>
                <w:ilvl w:val="0"/>
                <w:numId w:val="20"/>
              </w:numPr>
              <w:spacing w:line="276" w:lineRule="auto"/>
              <w:ind w:left="314" w:hanging="314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7D44" w:rsidRPr="0088789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Reasons for the delay</w:t>
            </w:r>
          </w:p>
        </w:tc>
        <w:tc>
          <w:tcPr>
            <w:tcW w:w="2512" w:type="dxa"/>
            <w:shd w:val="clear" w:color="auto" w:fill="D0CECE"/>
          </w:tcPr>
          <w:p w:rsidR="00CE7D44" w:rsidRPr="0088789D" w:rsidRDefault="00AD49D9" w:rsidP="00AD49D9">
            <w:pPr>
              <w:spacing w:line="276" w:lineRule="auto"/>
              <w:ind w:left="286" w:hanging="284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(c)</w:t>
            </w:r>
            <w:r w:rsidR="00D7280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E7D44" w:rsidRPr="0088789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Date to finalize the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</w:t>
            </w:r>
            <w:r w:rsidR="00CE7D44" w:rsidRPr="0088789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  <w:t>backlog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Gauteng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No response received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North West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No response received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Western Cape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No backlog reported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E93A6E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Eastern Cape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No backlog reported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Mpumalanga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No backlog reported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1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lastRenderedPageBreak/>
              <w:t>Free State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821 applications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A734E7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Restrictions imposed by the National Lockdown.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31 March 2022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Northern Cape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2698 applications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COVID-19 protocols and restrictions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  <w:t>31 March 2022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Kwa-Zulu Natal 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2859 applications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Taxi operators are not uplifting the operating licenses due to vehicles being repossessed or due to reduced profit collections on operations.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Applications are cancelled on the system in accordance with the National Land Transport Regulation time-frames.</w:t>
            </w:r>
          </w:p>
        </w:tc>
      </w:tr>
      <w:tr w:rsidR="00A734E7" w:rsidRPr="0088789D" w:rsidTr="00E93A6E">
        <w:tc>
          <w:tcPr>
            <w:tcW w:w="2268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Limpopo</w:t>
            </w:r>
          </w:p>
        </w:tc>
        <w:tc>
          <w:tcPr>
            <w:tcW w:w="255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1542 applications</w:t>
            </w:r>
          </w:p>
        </w:tc>
        <w:tc>
          <w:tcPr>
            <w:tcW w:w="2591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Lack of evidence of demand/supply of transport information from ITPS of municipalities in the province. </w:t>
            </w:r>
          </w:p>
        </w:tc>
        <w:tc>
          <w:tcPr>
            <w:tcW w:w="2512" w:type="dxa"/>
            <w:shd w:val="clear" w:color="auto" w:fill="auto"/>
          </w:tcPr>
          <w:p w:rsidR="00A734E7" w:rsidRPr="0088789D" w:rsidRDefault="00842334" w:rsidP="008C732F">
            <w:pPr>
              <w:spacing w:before="60" w:after="60"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8789D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31 March 2023</w:t>
            </w:r>
          </w:p>
        </w:tc>
      </w:tr>
    </w:tbl>
    <w:p w:rsidR="00CE7D44" w:rsidRDefault="00CE7D44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CE7D44" w:rsidRDefault="00CE7D44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E93A6E" w:rsidRDefault="00E93A6E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E93A6E" w:rsidRDefault="00E93A6E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CE7D44" w:rsidRPr="00FD7E25" w:rsidRDefault="00CE7D44" w:rsidP="008C732F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sectPr w:rsidR="00CE7D44" w:rsidRPr="00FD7E25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08" w:rsidRDefault="00651208">
      <w:r>
        <w:separator/>
      </w:r>
    </w:p>
  </w:endnote>
  <w:endnote w:type="continuationSeparator" w:id="0">
    <w:p w:rsidR="00651208" w:rsidRDefault="0065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08" w:rsidRDefault="00651208">
      <w:r>
        <w:separator/>
      </w:r>
    </w:p>
  </w:footnote>
  <w:footnote w:type="continuationSeparator" w:id="0">
    <w:p w:rsidR="00651208" w:rsidRDefault="00651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160600"/>
    <w:multiLevelType w:val="hybridMultilevel"/>
    <w:tmpl w:val="0908E076"/>
    <w:lvl w:ilvl="0" w:tplc="03F65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B18"/>
    <w:multiLevelType w:val="hybridMultilevel"/>
    <w:tmpl w:val="1C2AC4DA"/>
    <w:lvl w:ilvl="0" w:tplc="9FFAE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A314CDA"/>
    <w:multiLevelType w:val="hybridMultilevel"/>
    <w:tmpl w:val="DFC415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0A1A"/>
    <w:multiLevelType w:val="hybridMultilevel"/>
    <w:tmpl w:val="B1662F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6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4514A"/>
    <w:multiLevelType w:val="hybridMultilevel"/>
    <w:tmpl w:val="3D22B5C2"/>
    <w:lvl w:ilvl="0" w:tplc="0CCAF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827031"/>
    <w:multiLevelType w:val="hybridMultilevel"/>
    <w:tmpl w:val="F10AD3DE"/>
    <w:lvl w:ilvl="0" w:tplc="7C101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1667"/>
    <w:multiLevelType w:val="hybridMultilevel"/>
    <w:tmpl w:val="7DA463D2"/>
    <w:lvl w:ilvl="0" w:tplc="A63CB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2"/>
  </w:num>
  <w:num w:numId="5">
    <w:abstractNumId w:val="16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20"/>
  </w:num>
  <w:num w:numId="15">
    <w:abstractNumId w:val="15"/>
  </w:num>
  <w:num w:numId="16">
    <w:abstractNumId w:val="18"/>
  </w:num>
  <w:num w:numId="17">
    <w:abstractNumId w:val="0"/>
  </w:num>
  <w:num w:numId="18">
    <w:abstractNumId w:val="14"/>
  </w:num>
  <w:num w:numId="19">
    <w:abstractNumId w:val="7"/>
  </w:num>
  <w:num w:numId="20">
    <w:abstractNumId w:val="23"/>
  </w:num>
  <w:num w:numId="21">
    <w:abstractNumId w:val="24"/>
  </w:num>
  <w:num w:numId="22">
    <w:abstractNumId w:val="21"/>
  </w:num>
  <w:num w:numId="23">
    <w:abstractNumId w:val="4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4110B"/>
    <w:rsid w:val="00052E60"/>
    <w:rsid w:val="00064000"/>
    <w:rsid w:val="000C3717"/>
    <w:rsid w:val="000D2FCC"/>
    <w:rsid w:val="000D6204"/>
    <w:rsid w:val="000E46E0"/>
    <w:rsid w:val="000F438F"/>
    <w:rsid w:val="00107B84"/>
    <w:rsid w:val="00124B06"/>
    <w:rsid w:val="00130913"/>
    <w:rsid w:val="00136739"/>
    <w:rsid w:val="001465BA"/>
    <w:rsid w:val="00152CC4"/>
    <w:rsid w:val="00164772"/>
    <w:rsid w:val="00194D6A"/>
    <w:rsid w:val="001A6EB5"/>
    <w:rsid w:val="001B3A9C"/>
    <w:rsid w:val="001C0016"/>
    <w:rsid w:val="001D0866"/>
    <w:rsid w:val="001E56FC"/>
    <w:rsid w:val="001F04AB"/>
    <w:rsid w:val="001F37BE"/>
    <w:rsid w:val="00237995"/>
    <w:rsid w:val="00237C59"/>
    <w:rsid w:val="002425A4"/>
    <w:rsid w:val="00252FE4"/>
    <w:rsid w:val="0026496F"/>
    <w:rsid w:val="002765E6"/>
    <w:rsid w:val="00287706"/>
    <w:rsid w:val="002A366B"/>
    <w:rsid w:val="002A6B98"/>
    <w:rsid w:val="002B33E9"/>
    <w:rsid w:val="002B4CC3"/>
    <w:rsid w:val="002E3A15"/>
    <w:rsid w:val="003148C1"/>
    <w:rsid w:val="00337C35"/>
    <w:rsid w:val="0037735D"/>
    <w:rsid w:val="0038074E"/>
    <w:rsid w:val="0038097C"/>
    <w:rsid w:val="00387FEF"/>
    <w:rsid w:val="00395FAB"/>
    <w:rsid w:val="003A7D7C"/>
    <w:rsid w:val="003E6EEB"/>
    <w:rsid w:val="003E7A1C"/>
    <w:rsid w:val="0040324C"/>
    <w:rsid w:val="00411BD1"/>
    <w:rsid w:val="00411F12"/>
    <w:rsid w:val="00415801"/>
    <w:rsid w:val="00431FFB"/>
    <w:rsid w:val="00437E91"/>
    <w:rsid w:val="00457030"/>
    <w:rsid w:val="00471AD3"/>
    <w:rsid w:val="00485272"/>
    <w:rsid w:val="004C1BD0"/>
    <w:rsid w:val="004C550A"/>
    <w:rsid w:val="004E3281"/>
    <w:rsid w:val="004E7C50"/>
    <w:rsid w:val="00506CA3"/>
    <w:rsid w:val="00510ACC"/>
    <w:rsid w:val="00510B97"/>
    <w:rsid w:val="0053543F"/>
    <w:rsid w:val="005479CB"/>
    <w:rsid w:val="00551950"/>
    <w:rsid w:val="005851BF"/>
    <w:rsid w:val="005B41E4"/>
    <w:rsid w:val="005C31F0"/>
    <w:rsid w:val="005D0E5A"/>
    <w:rsid w:val="005D38A5"/>
    <w:rsid w:val="006053FE"/>
    <w:rsid w:val="00607381"/>
    <w:rsid w:val="00611598"/>
    <w:rsid w:val="00636266"/>
    <w:rsid w:val="00651208"/>
    <w:rsid w:val="006532B9"/>
    <w:rsid w:val="00661147"/>
    <w:rsid w:val="00666D4D"/>
    <w:rsid w:val="00673B92"/>
    <w:rsid w:val="00675536"/>
    <w:rsid w:val="00677616"/>
    <w:rsid w:val="006831DC"/>
    <w:rsid w:val="006B2B5E"/>
    <w:rsid w:val="00704C1A"/>
    <w:rsid w:val="007058EE"/>
    <w:rsid w:val="00713973"/>
    <w:rsid w:val="00721E32"/>
    <w:rsid w:val="007269C6"/>
    <w:rsid w:val="007277EA"/>
    <w:rsid w:val="00732D80"/>
    <w:rsid w:val="007341C8"/>
    <w:rsid w:val="00736899"/>
    <w:rsid w:val="00765CB9"/>
    <w:rsid w:val="00793DB2"/>
    <w:rsid w:val="007B5587"/>
    <w:rsid w:val="007C3628"/>
    <w:rsid w:val="007C49D3"/>
    <w:rsid w:val="007D1DB5"/>
    <w:rsid w:val="007D3C85"/>
    <w:rsid w:val="007F4FB6"/>
    <w:rsid w:val="00806B90"/>
    <w:rsid w:val="0082465F"/>
    <w:rsid w:val="008415E3"/>
    <w:rsid w:val="00842334"/>
    <w:rsid w:val="008513AC"/>
    <w:rsid w:val="00854EEA"/>
    <w:rsid w:val="00857E66"/>
    <w:rsid w:val="0088592E"/>
    <w:rsid w:val="0088789D"/>
    <w:rsid w:val="008A6E6A"/>
    <w:rsid w:val="008C423C"/>
    <w:rsid w:val="008C732F"/>
    <w:rsid w:val="008D2789"/>
    <w:rsid w:val="009007BA"/>
    <w:rsid w:val="00905A43"/>
    <w:rsid w:val="00920373"/>
    <w:rsid w:val="00970C1F"/>
    <w:rsid w:val="0097109E"/>
    <w:rsid w:val="00977C0A"/>
    <w:rsid w:val="00980549"/>
    <w:rsid w:val="009837A4"/>
    <w:rsid w:val="009A00BC"/>
    <w:rsid w:val="009A75BD"/>
    <w:rsid w:val="009B2176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72D34"/>
    <w:rsid w:val="00A734E7"/>
    <w:rsid w:val="00A74B01"/>
    <w:rsid w:val="00A80870"/>
    <w:rsid w:val="00AD49D9"/>
    <w:rsid w:val="00AD7A5B"/>
    <w:rsid w:val="00AE680F"/>
    <w:rsid w:val="00B70328"/>
    <w:rsid w:val="00B802FC"/>
    <w:rsid w:val="00B83217"/>
    <w:rsid w:val="00BA0A9C"/>
    <w:rsid w:val="00BC22EA"/>
    <w:rsid w:val="00BC73D2"/>
    <w:rsid w:val="00BE5FA4"/>
    <w:rsid w:val="00C006D6"/>
    <w:rsid w:val="00C014BF"/>
    <w:rsid w:val="00C250FE"/>
    <w:rsid w:val="00C56433"/>
    <w:rsid w:val="00C65DEE"/>
    <w:rsid w:val="00C7054F"/>
    <w:rsid w:val="00C815E6"/>
    <w:rsid w:val="00C9190C"/>
    <w:rsid w:val="00C9755C"/>
    <w:rsid w:val="00CA52A1"/>
    <w:rsid w:val="00CB2AB7"/>
    <w:rsid w:val="00CB2B14"/>
    <w:rsid w:val="00CC12C9"/>
    <w:rsid w:val="00CC48BF"/>
    <w:rsid w:val="00CD56BE"/>
    <w:rsid w:val="00CE1015"/>
    <w:rsid w:val="00CE11EF"/>
    <w:rsid w:val="00CE4231"/>
    <w:rsid w:val="00CE7D44"/>
    <w:rsid w:val="00CF46F2"/>
    <w:rsid w:val="00D34CBF"/>
    <w:rsid w:val="00D72800"/>
    <w:rsid w:val="00D76D32"/>
    <w:rsid w:val="00DA3F5F"/>
    <w:rsid w:val="00DB7340"/>
    <w:rsid w:val="00DD1C18"/>
    <w:rsid w:val="00DF3929"/>
    <w:rsid w:val="00E22B78"/>
    <w:rsid w:val="00E2327A"/>
    <w:rsid w:val="00E3479A"/>
    <w:rsid w:val="00E42C01"/>
    <w:rsid w:val="00E51CF2"/>
    <w:rsid w:val="00E5486F"/>
    <w:rsid w:val="00E9309F"/>
    <w:rsid w:val="00E93A6E"/>
    <w:rsid w:val="00EB4F6D"/>
    <w:rsid w:val="00EB5956"/>
    <w:rsid w:val="00EC3A80"/>
    <w:rsid w:val="00EF4F84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34B0"/>
    <w:rsid w:val="00FA54F7"/>
    <w:rsid w:val="00FC49AD"/>
    <w:rsid w:val="00FC63AA"/>
    <w:rsid w:val="00FC72E8"/>
    <w:rsid w:val="00FD4470"/>
    <w:rsid w:val="00FD7DC2"/>
    <w:rsid w:val="00FD7E25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paragraph" w:styleId="Header">
    <w:name w:val="header"/>
    <w:basedOn w:val="Normal"/>
    <w:link w:val="HeaderChar"/>
    <w:rsid w:val="00AD49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49D9"/>
    <w:rPr>
      <w:rFonts w:ascii="Footlight MT Light" w:hAnsi="Footlight MT Light"/>
      <w:sz w:val="24"/>
      <w:lang w:val="en-GB" w:eastAsia="en-US"/>
    </w:rPr>
  </w:style>
  <w:style w:type="paragraph" w:styleId="Footer">
    <w:name w:val="footer"/>
    <w:basedOn w:val="Normal"/>
    <w:link w:val="FooterChar"/>
    <w:rsid w:val="00AD49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49D9"/>
    <w:rPr>
      <w:rFonts w:ascii="Footlight MT Light" w:hAnsi="Footlight MT Light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8C0CC-8275-45E0-9AFC-857C9FFE5B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0F0DCA-680B-448B-9984-F8248D26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2021-11-19T12:14:00Z</cp:lastPrinted>
  <dcterms:created xsi:type="dcterms:W3CDTF">2021-12-13T18:03:00Z</dcterms:created>
  <dcterms:modified xsi:type="dcterms:W3CDTF">2021-12-13T18:03:00Z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