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AD8" w:rsidRPr="00EB6AD8" w:rsidRDefault="00EB6AD8" w:rsidP="00EB6AD8">
      <w:pPr>
        <w:pStyle w:val="DACBODYTEXT"/>
        <w:ind w:left="84"/>
        <w:jc w:val="center"/>
        <w:rPr>
          <w:rFonts w:cs="Arial"/>
          <w:b/>
          <w:sz w:val="28"/>
          <w:szCs w:val="28"/>
        </w:rPr>
      </w:pPr>
      <w:r w:rsidRPr="000C0DB0">
        <w:rPr>
          <w:rFonts w:cs="Arial"/>
          <w:b/>
          <w:sz w:val="28"/>
          <w:szCs w:val="28"/>
        </w:rPr>
        <w:t>NATIONAL ASSEMBLY</w:t>
      </w:r>
    </w:p>
    <w:p w:rsidR="00EB6AD8" w:rsidRPr="000C0DB0" w:rsidRDefault="00EB6AD8" w:rsidP="00EB6AD8">
      <w:pPr>
        <w:pStyle w:val="DACBODYTEXT"/>
        <w:spacing w:after="0" w:line="240" w:lineRule="auto"/>
        <w:ind w:left="84" w:hanging="84"/>
        <w:rPr>
          <w:rFonts w:cs="Arial"/>
          <w:b/>
          <w:sz w:val="28"/>
          <w:szCs w:val="28"/>
          <w:u w:val="single"/>
        </w:rPr>
      </w:pPr>
      <w:r w:rsidRPr="000C0DB0">
        <w:rPr>
          <w:rFonts w:cs="Arial"/>
          <w:b/>
          <w:sz w:val="28"/>
          <w:szCs w:val="28"/>
          <w:u w:val="single"/>
        </w:rPr>
        <w:t>QUESTION NO. 1756-2023</w:t>
      </w:r>
    </w:p>
    <w:p w:rsidR="00EB6AD8" w:rsidRPr="000C0DB0" w:rsidRDefault="00EB6AD8" w:rsidP="00EB6AD8">
      <w:pPr>
        <w:tabs>
          <w:tab w:val="left" w:pos="576"/>
          <w:tab w:val="left" w:pos="1296"/>
          <w:tab w:val="left" w:pos="6336"/>
        </w:tabs>
        <w:ind w:left="70" w:hanging="70"/>
        <w:jc w:val="both"/>
        <w:rPr>
          <w:rFonts w:ascii="Arial" w:hAnsi="Arial" w:cs="Arial"/>
          <w:b/>
          <w:sz w:val="28"/>
          <w:szCs w:val="28"/>
        </w:rPr>
      </w:pPr>
      <w:r w:rsidRPr="000C0DB0">
        <w:rPr>
          <w:rFonts w:ascii="Arial" w:hAnsi="Arial" w:cs="Arial"/>
          <w:b/>
          <w:sz w:val="28"/>
          <w:szCs w:val="28"/>
          <w:u w:val="single"/>
        </w:rPr>
        <w:t>FOR WRITTEN REPLY</w:t>
      </w:r>
    </w:p>
    <w:p w:rsidR="00EB6AD8" w:rsidRPr="000C0DB0" w:rsidRDefault="00EB6AD8" w:rsidP="00EB6AD8">
      <w:pPr>
        <w:ind w:right="28"/>
        <w:jc w:val="both"/>
        <w:rPr>
          <w:rFonts w:ascii="Arial" w:hAnsi="Arial" w:cs="Arial"/>
          <w:b/>
          <w:bCs/>
          <w:sz w:val="28"/>
          <w:szCs w:val="28"/>
        </w:rPr>
      </w:pPr>
      <w:r w:rsidRPr="000C0DB0">
        <w:rPr>
          <w:rFonts w:ascii="Arial" w:hAnsi="Arial" w:cs="Arial"/>
          <w:b/>
          <w:bCs/>
          <w:sz w:val="28"/>
          <w:szCs w:val="28"/>
        </w:rPr>
        <w:t>INTERNAL QUESTION PAPER NO.16-2023 DATED 12 MAY 2023</w:t>
      </w:r>
    </w:p>
    <w:p w:rsidR="00EB6AD8" w:rsidRPr="000C0DB0" w:rsidRDefault="00EB6AD8" w:rsidP="00EB6AD8">
      <w:pPr>
        <w:ind w:left="709" w:hanging="709"/>
        <w:contextualSpacing/>
        <w:jc w:val="both"/>
        <w:outlineLvl w:val="0"/>
        <w:rPr>
          <w:rFonts w:ascii="Arial" w:hAnsi="Arial" w:cs="Arial"/>
          <w:b/>
          <w:sz w:val="28"/>
          <w:szCs w:val="28"/>
        </w:rPr>
      </w:pPr>
      <w:proofErr w:type="spellStart"/>
      <w:r w:rsidRPr="008C1D47">
        <w:rPr>
          <w:rFonts w:ascii="Arial" w:hAnsi="Arial" w:cs="Arial"/>
          <w:b/>
          <w:bCs/>
          <w:sz w:val="28"/>
          <w:szCs w:val="28"/>
        </w:rPr>
        <w:t>Mr</w:t>
      </w:r>
      <w:proofErr w:type="spellEnd"/>
      <w:r w:rsidRPr="008C1D47">
        <w:rPr>
          <w:rFonts w:ascii="Arial" w:hAnsi="Arial" w:cs="Arial"/>
          <w:b/>
          <w:bCs/>
          <w:sz w:val="28"/>
          <w:szCs w:val="28"/>
        </w:rPr>
        <w:t xml:space="preserve"> BS </w:t>
      </w:r>
      <w:proofErr w:type="spellStart"/>
      <w:r w:rsidRPr="008C1D47">
        <w:rPr>
          <w:rFonts w:ascii="Arial" w:hAnsi="Arial" w:cs="Arial"/>
          <w:b/>
          <w:bCs/>
          <w:sz w:val="28"/>
          <w:szCs w:val="28"/>
        </w:rPr>
        <w:t>Madlingozi</w:t>
      </w:r>
      <w:proofErr w:type="spellEnd"/>
      <w:r w:rsidRPr="008C1D47">
        <w:rPr>
          <w:rFonts w:ascii="Arial" w:hAnsi="Arial" w:cs="Arial"/>
          <w:b/>
          <w:bCs/>
          <w:sz w:val="28"/>
          <w:szCs w:val="28"/>
        </w:rPr>
        <w:t xml:space="preserve"> (EFF) to ask </w:t>
      </w:r>
      <w:r w:rsidRPr="008C1D47">
        <w:rPr>
          <w:rFonts w:ascii="Arial" w:eastAsia="Times New Roman" w:hAnsi="Arial" w:cs="Arial"/>
          <w:b/>
          <w:bCs/>
          <w:sz w:val="28"/>
          <w:szCs w:val="28"/>
        </w:rPr>
        <w:t>the</w:t>
      </w:r>
      <w:r w:rsidRPr="008C1D47">
        <w:rPr>
          <w:rFonts w:ascii="Arial" w:hAnsi="Arial" w:cs="Arial"/>
          <w:b/>
          <w:bCs/>
          <w:sz w:val="28"/>
          <w:szCs w:val="28"/>
        </w:rPr>
        <w:t xml:space="preserve"> Minister of Sport, Arts and Culture</w:t>
      </w:r>
      <w:r w:rsidR="00F74846" w:rsidRPr="000C0DB0">
        <w:rPr>
          <w:rFonts w:ascii="Arial" w:hAnsi="Arial" w:cs="Arial"/>
          <w:b/>
          <w:sz w:val="28"/>
          <w:szCs w:val="28"/>
        </w:rPr>
        <w:fldChar w:fldCharType="begin"/>
      </w:r>
      <w:r w:rsidRPr="000C0DB0">
        <w:rPr>
          <w:rFonts w:ascii="Arial" w:hAnsi="Arial" w:cs="Arial"/>
          <w:sz w:val="28"/>
          <w:szCs w:val="28"/>
        </w:rPr>
        <w:instrText xml:space="preserve"> XE "</w:instrText>
      </w:r>
      <w:r w:rsidRPr="000C0DB0">
        <w:rPr>
          <w:rFonts w:ascii="Arial" w:hAnsi="Arial" w:cs="Arial"/>
          <w:b/>
          <w:sz w:val="28"/>
          <w:szCs w:val="28"/>
        </w:rPr>
        <w:instrText>Minister of Sport, Arts and Culture</w:instrText>
      </w:r>
      <w:r w:rsidRPr="000C0DB0">
        <w:rPr>
          <w:rFonts w:ascii="Arial" w:hAnsi="Arial" w:cs="Arial"/>
          <w:sz w:val="28"/>
          <w:szCs w:val="28"/>
        </w:rPr>
        <w:instrText xml:space="preserve">" </w:instrText>
      </w:r>
      <w:r w:rsidR="00F74846" w:rsidRPr="000C0DB0">
        <w:rPr>
          <w:rFonts w:ascii="Arial" w:hAnsi="Arial" w:cs="Arial"/>
          <w:b/>
          <w:sz w:val="28"/>
          <w:szCs w:val="28"/>
        </w:rPr>
        <w:fldChar w:fldCharType="end"/>
      </w:r>
      <w:r w:rsidRPr="000C0DB0">
        <w:rPr>
          <w:rFonts w:ascii="Arial" w:hAnsi="Arial" w:cs="Arial"/>
          <w:b/>
          <w:sz w:val="28"/>
          <w:szCs w:val="28"/>
        </w:rPr>
        <w:t xml:space="preserve">: </w:t>
      </w:r>
    </w:p>
    <w:p w:rsidR="00EB6AD8" w:rsidRPr="000C0DB0" w:rsidRDefault="00EB6AD8" w:rsidP="00EB6AD8">
      <w:pPr>
        <w:contextualSpacing/>
        <w:jc w:val="both"/>
        <w:rPr>
          <w:rFonts w:ascii="Arial" w:hAnsi="Arial" w:cs="Arial"/>
          <w:b/>
          <w:bCs/>
          <w:sz w:val="28"/>
          <w:szCs w:val="28"/>
        </w:rPr>
      </w:pPr>
      <w:r w:rsidRPr="000C0DB0">
        <w:rPr>
          <w:rFonts w:ascii="Arial" w:hAnsi="Arial" w:cs="Arial"/>
          <w:sz w:val="28"/>
          <w:szCs w:val="28"/>
          <w:lang w:val="en-GB"/>
        </w:rPr>
        <w:t>(a) What (</w:t>
      </w:r>
      <w:proofErr w:type="spellStart"/>
      <w:r w:rsidRPr="000C0DB0">
        <w:rPr>
          <w:rFonts w:ascii="Arial" w:hAnsi="Arial" w:cs="Arial"/>
          <w:sz w:val="28"/>
          <w:szCs w:val="28"/>
          <w:lang w:val="en-GB"/>
        </w:rPr>
        <w:t>i</w:t>
      </w:r>
      <w:proofErr w:type="spellEnd"/>
      <w:r w:rsidRPr="000C0DB0">
        <w:rPr>
          <w:rFonts w:ascii="Arial" w:hAnsi="Arial" w:cs="Arial"/>
          <w:sz w:val="28"/>
          <w:szCs w:val="28"/>
          <w:lang w:val="en-GB"/>
        </w:rPr>
        <w:t>) total number of theatres have been rendered non-functional and/or dysfunctional in each province in the past three financial years and (ii) are the reasons for each circumstance, (b) what measures has he taken to support (</w:t>
      </w:r>
      <w:proofErr w:type="spellStart"/>
      <w:r w:rsidRPr="000C0DB0">
        <w:rPr>
          <w:rFonts w:ascii="Arial" w:hAnsi="Arial" w:cs="Arial"/>
          <w:sz w:val="28"/>
          <w:szCs w:val="28"/>
          <w:lang w:val="en-GB"/>
        </w:rPr>
        <w:t>i</w:t>
      </w:r>
      <w:proofErr w:type="spellEnd"/>
      <w:r w:rsidRPr="000C0DB0">
        <w:rPr>
          <w:rFonts w:ascii="Arial" w:hAnsi="Arial" w:cs="Arial"/>
          <w:sz w:val="28"/>
          <w:szCs w:val="28"/>
          <w:lang w:val="en-GB"/>
        </w:rPr>
        <w:t>) theatres and (ii) theatre practitioners in the past three financial years and (c) which public theatres have ongoing corruption investigations and/or allegations waged against the staff, management and/or service providers?</w:t>
      </w:r>
      <w:r w:rsidRPr="000C0DB0">
        <w:rPr>
          <w:rFonts w:ascii="Arial" w:hAnsi="Arial" w:cs="Arial"/>
          <w:b/>
          <w:bCs/>
          <w:sz w:val="28"/>
          <w:szCs w:val="28"/>
          <w:lang w:val="en-GB"/>
        </w:rPr>
        <w:tab/>
        <w:t xml:space="preserve">  </w:t>
      </w:r>
      <w:r w:rsidRPr="000C0DB0">
        <w:rPr>
          <w:rFonts w:ascii="Arial" w:hAnsi="Arial" w:cs="Arial"/>
          <w:b/>
          <w:bCs/>
          <w:sz w:val="28"/>
          <w:szCs w:val="28"/>
        </w:rPr>
        <w:t>NW2004E</w:t>
      </w:r>
    </w:p>
    <w:p w:rsidR="00EB6AD8" w:rsidRPr="000C0DB0" w:rsidRDefault="00EB6AD8" w:rsidP="00EB6AD8">
      <w:pPr>
        <w:spacing w:before="240"/>
        <w:ind w:right="305"/>
        <w:jc w:val="both"/>
        <w:rPr>
          <w:rFonts w:ascii="Arial" w:hAnsi="Arial" w:cs="Arial"/>
          <w:b/>
          <w:sz w:val="28"/>
          <w:szCs w:val="28"/>
        </w:rPr>
      </w:pPr>
      <w:r w:rsidRPr="000C0DB0">
        <w:rPr>
          <w:rFonts w:ascii="Arial" w:hAnsi="Arial" w:cs="Arial"/>
          <w:b/>
          <w:sz w:val="28"/>
          <w:szCs w:val="28"/>
        </w:rPr>
        <w:t xml:space="preserve">REPLY: </w:t>
      </w:r>
    </w:p>
    <w:p w:rsidR="00EB6AD8" w:rsidRDefault="00EB6AD8" w:rsidP="00EB6AD8">
      <w:pPr>
        <w:shd w:val="clear" w:color="auto" w:fill="FFFFFF"/>
        <w:jc w:val="both"/>
        <w:rPr>
          <w:rFonts w:ascii="Arial" w:hAnsi="Arial" w:cs="Arial"/>
          <w:sz w:val="28"/>
          <w:szCs w:val="28"/>
        </w:rPr>
      </w:pPr>
      <w:r w:rsidRPr="000C0DB0">
        <w:rPr>
          <w:rFonts w:ascii="Arial" w:hAnsi="Arial" w:cs="Arial"/>
          <w:sz w:val="28"/>
          <w:szCs w:val="28"/>
        </w:rPr>
        <w:t xml:space="preserve">The Department of Sport, Arts and Culture is responsible for six theatres, namely, The Playhouse Company, Artscape, South African State Theatre, The Market Theatre Foundation, Performing Arts Centre of the Free State and Mandela Bay Theatre Complex. </w:t>
      </w:r>
    </w:p>
    <w:p w:rsidR="00EB6AD8" w:rsidRPr="000C0DB0" w:rsidRDefault="00EB6AD8" w:rsidP="00EB6AD8">
      <w:pPr>
        <w:shd w:val="clear" w:color="auto" w:fill="FFFFFF"/>
        <w:jc w:val="both"/>
        <w:rPr>
          <w:rFonts w:ascii="Arial" w:hAnsi="Arial" w:cs="Arial"/>
          <w:sz w:val="28"/>
          <w:szCs w:val="28"/>
        </w:rPr>
      </w:pPr>
    </w:p>
    <w:p w:rsidR="00EB6AD8" w:rsidRPr="000C0DB0" w:rsidRDefault="00EB6AD8" w:rsidP="00EB6AD8">
      <w:pPr>
        <w:shd w:val="clear" w:color="auto" w:fill="FFFFFF"/>
        <w:jc w:val="both"/>
        <w:rPr>
          <w:rFonts w:ascii="Arial" w:hAnsi="Arial" w:cs="Arial"/>
          <w:sz w:val="28"/>
          <w:szCs w:val="28"/>
        </w:rPr>
      </w:pPr>
      <w:r w:rsidRPr="000C0DB0">
        <w:rPr>
          <w:rFonts w:ascii="Arial" w:hAnsi="Arial" w:cs="Arial"/>
          <w:sz w:val="28"/>
          <w:szCs w:val="28"/>
        </w:rPr>
        <w:t xml:space="preserve">None of these theatres have been rendered non-functional and/or dysfunctional in the past three financial years. </w:t>
      </w:r>
    </w:p>
    <w:p w:rsidR="00EB6AD8" w:rsidRPr="000C0DB0" w:rsidRDefault="00EB6AD8" w:rsidP="00EB6AD8">
      <w:pPr>
        <w:shd w:val="clear" w:color="auto" w:fill="FFFFFF"/>
        <w:jc w:val="both"/>
        <w:rPr>
          <w:rFonts w:ascii="Arial" w:hAnsi="Arial" w:cs="Arial"/>
          <w:sz w:val="28"/>
          <w:szCs w:val="28"/>
        </w:rPr>
      </w:pPr>
      <w:r w:rsidRPr="000C0DB0">
        <w:rPr>
          <w:rFonts w:ascii="Arial" w:hAnsi="Arial" w:cs="Arial"/>
          <w:sz w:val="28"/>
          <w:szCs w:val="28"/>
        </w:rPr>
        <w:t>(a).</w:t>
      </w:r>
      <w:r w:rsidRPr="000C0DB0">
        <w:rPr>
          <w:rFonts w:ascii="Arial" w:hAnsi="Arial" w:cs="Arial"/>
          <w:sz w:val="28"/>
          <w:szCs w:val="28"/>
        </w:rPr>
        <w:tab/>
        <w:t xml:space="preserve">The financial allocation for the six Theatres in the past three financial years </w:t>
      </w:r>
      <w:r w:rsidRPr="000C0DB0">
        <w:rPr>
          <w:rFonts w:ascii="Arial" w:hAnsi="Arial" w:cs="Arial"/>
          <w:sz w:val="28"/>
          <w:szCs w:val="28"/>
        </w:rPr>
        <w:tab/>
        <w:t>is as follows:</w:t>
      </w:r>
    </w:p>
    <w:tbl>
      <w:tblPr>
        <w:tblStyle w:val="TableGrid"/>
        <w:tblW w:w="0" w:type="auto"/>
        <w:tblInd w:w="625" w:type="dxa"/>
        <w:tblLook w:val="04A0"/>
      </w:tblPr>
      <w:tblGrid>
        <w:gridCol w:w="3198"/>
        <w:gridCol w:w="1701"/>
        <w:gridCol w:w="1559"/>
        <w:gridCol w:w="1696"/>
      </w:tblGrid>
      <w:tr w:rsidR="00EB6AD8" w:rsidRPr="000C0DB0" w:rsidTr="004B6055">
        <w:tc>
          <w:tcPr>
            <w:tcW w:w="3198" w:type="dxa"/>
          </w:tcPr>
          <w:p w:rsidR="00EB6AD8" w:rsidRPr="000C0DB0" w:rsidRDefault="00EB6AD8" w:rsidP="004B6055">
            <w:pPr>
              <w:pStyle w:val="ListParagraph"/>
              <w:spacing w:line="240" w:lineRule="auto"/>
              <w:ind w:left="0"/>
              <w:jc w:val="both"/>
              <w:rPr>
                <w:rFonts w:cs="Arial"/>
                <w:b/>
                <w:bCs/>
                <w:sz w:val="28"/>
                <w:szCs w:val="28"/>
              </w:rPr>
            </w:pPr>
            <w:r w:rsidRPr="000C0DB0">
              <w:rPr>
                <w:rFonts w:cs="Arial"/>
                <w:b/>
                <w:bCs/>
                <w:sz w:val="28"/>
                <w:szCs w:val="28"/>
              </w:rPr>
              <w:t>ENTITY</w:t>
            </w:r>
          </w:p>
        </w:tc>
        <w:tc>
          <w:tcPr>
            <w:tcW w:w="1701" w:type="dxa"/>
          </w:tcPr>
          <w:p w:rsidR="00EB6AD8" w:rsidRPr="000C0DB0" w:rsidRDefault="00EB6AD8" w:rsidP="004B6055">
            <w:pPr>
              <w:pStyle w:val="ListParagraph"/>
              <w:spacing w:line="240" w:lineRule="auto"/>
              <w:ind w:left="0"/>
              <w:jc w:val="both"/>
              <w:rPr>
                <w:rFonts w:cs="Arial"/>
                <w:b/>
                <w:bCs/>
                <w:sz w:val="28"/>
                <w:szCs w:val="28"/>
              </w:rPr>
            </w:pPr>
            <w:r w:rsidRPr="000C0DB0">
              <w:rPr>
                <w:rFonts w:cs="Arial"/>
                <w:b/>
                <w:bCs/>
                <w:sz w:val="28"/>
                <w:szCs w:val="28"/>
              </w:rPr>
              <w:t>2020/2021</w:t>
            </w:r>
          </w:p>
        </w:tc>
        <w:tc>
          <w:tcPr>
            <w:tcW w:w="1559" w:type="dxa"/>
          </w:tcPr>
          <w:p w:rsidR="00EB6AD8" w:rsidRPr="000C0DB0" w:rsidRDefault="00EB6AD8" w:rsidP="004B6055">
            <w:pPr>
              <w:pStyle w:val="ListParagraph"/>
              <w:spacing w:line="240" w:lineRule="auto"/>
              <w:ind w:left="0"/>
              <w:jc w:val="both"/>
              <w:rPr>
                <w:rFonts w:cs="Arial"/>
                <w:b/>
                <w:bCs/>
                <w:sz w:val="28"/>
                <w:szCs w:val="28"/>
              </w:rPr>
            </w:pPr>
            <w:r w:rsidRPr="000C0DB0">
              <w:rPr>
                <w:rFonts w:cs="Arial"/>
                <w:b/>
                <w:bCs/>
                <w:sz w:val="28"/>
                <w:szCs w:val="28"/>
              </w:rPr>
              <w:t>2021/2022</w:t>
            </w:r>
          </w:p>
        </w:tc>
        <w:tc>
          <w:tcPr>
            <w:tcW w:w="1696" w:type="dxa"/>
          </w:tcPr>
          <w:p w:rsidR="00EB6AD8" w:rsidRPr="000C0DB0" w:rsidRDefault="00EB6AD8" w:rsidP="004B6055">
            <w:pPr>
              <w:pStyle w:val="ListParagraph"/>
              <w:spacing w:line="240" w:lineRule="auto"/>
              <w:ind w:left="0"/>
              <w:jc w:val="both"/>
              <w:rPr>
                <w:rFonts w:cs="Arial"/>
                <w:b/>
                <w:bCs/>
                <w:sz w:val="28"/>
                <w:szCs w:val="28"/>
              </w:rPr>
            </w:pPr>
            <w:r w:rsidRPr="000C0DB0">
              <w:rPr>
                <w:rFonts w:cs="Arial"/>
                <w:b/>
                <w:bCs/>
                <w:sz w:val="28"/>
                <w:szCs w:val="28"/>
              </w:rPr>
              <w:t>2022/2023</w:t>
            </w:r>
          </w:p>
        </w:tc>
      </w:tr>
      <w:tr w:rsidR="00EB6AD8" w:rsidRPr="000C0DB0" w:rsidTr="004B6055">
        <w:tc>
          <w:tcPr>
            <w:tcW w:w="3198" w:type="dxa"/>
          </w:tcPr>
          <w:p w:rsidR="00EB6AD8" w:rsidRPr="000C0DB0" w:rsidRDefault="00EB6AD8" w:rsidP="004B6055">
            <w:pPr>
              <w:pStyle w:val="ListParagraph"/>
              <w:spacing w:line="240" w:lineRule="auto"/>
              <w:ind w:left="0"/>
              <w:rPr>
                <w:rFonts w:cs="Arial"/>
                <w:sz w:val="28"/>
                <w:szCs w:val="28"/>
              </w:rPr>
            </w:pPr>
            <w:r w:rsidRPr="000C0DB0">
              <w:rPr>
                <w:rFonts w:cs="Arial"/>
                <w:sz w:val="28"/>
                <w:szCs w:val="28"/>
              </w:rPr>
              <w:t>Artscape</w:t>
            </w:r>
          </w:p>
        </w:tc>
        <w:tc>
          <w:tcPr>
            <w:tcW w:w="1701" w:type="dxa"/>
          </w:tcPr>
          <w:p w:rsidR="00EB6AD8" w:rsidRPr="000C0DB0" w:rsidRDefault="00EB6AD8" w:rsidP="004B6055">
            <w:pPr>
              <w:pStyle w:val="ListParagraph"/>
              <w:spacing w:line="240" w:lineRule="auto"/>
              <w:ind w:left="0"/>
              <w:jc w:val="both"/>
              <w:rPr>
                <w:rFonts w:cs="Arial"/>
                <w:sz w:val="28"/>
                <w:szCs w:val="28"/>
              </w:rPr>
            </w:pPr>
            <w:r w:rsidRPr="000C0DB0">
              <w:rPr>
                <w:rFonts w:cs="Arial"/>
                <w:sz w:val="28"/>
                <w:szCs w:val="28"/>
              </w:rPr>
              <w:t>65 269</w:t>
            </w:r>
          </w:p>
        </w:tc>
        <w:tc>
          <w:tcPr>
            <w:tcW w:w="1559" w:type="dxa"/>
          </w:tcPr>
          <w:p w:rsidR="00EB6AD8" w:rsidRPr="000C0DB0" w:rsidRDefault="00EB6AD8" w:rsidP="004B6055">
            <w:pPr>
              <w:pStyle w:val="ListParagraph"/>
              <w:spacing w:line="240" w:lineRule="auto"/>
              <w:ind w:left="0"/>
              <w:jc w:val="both"/>
              <w:rPr>
                <w:rFonts w:cs="Arial"/>
                <w:sz w:val="28"/>
                <w:szCs w:val="28"/>
              </w:rPr>
            </w:pPr>
            <w:r w:rsidRPr="000C0DB0">
              <w:rPr>
                <w:rFonts w:cs="Arial"/>
                <w:sz w:val="28"/>
                <w:szCs w:val="28"/>
              </w:rPr>
              <w:t>65 849</w:t>
            </w:r>
          </w:p>
        </w:tc>
        <w:tc>
          <w:tcPr>
            <w:tcW w:w="1696" w:type="dxa"/>
          </w:tcPr>
          <w:p w:rsidR="00EB6AD8" w:rsidRPr="000C0DB0" w:rsidRDefault="00EB6AD8" w:rsidP="004B6055">
            <w:pPr>
              <w:pStyle w:val="ListParagraph"/>
              <w:spacing w:line="240" w:lineRule="auto"/>
              <w:ind w:left="0"/>
              <w:jc w:val="both"/>
              <w:rPr>
                <w:rFonts w:cs="Arial"/>
                <w:sz w:val="28"/>
                <w:szCs w:val="28"/>
              </w:rPr>
            </w:pPr>
            <w:r w:rsidRPr="000C0DB0">
              <w:rPr>
                <w:rFonts w:cs="Arial"/>
                <w:sz w:val="28"/>
                <w:szCs w:val="28"/>
              </w:rPr>
              <w:t>67 478</w:t>
            </w:r>
          </w:p>
        </w:tc>
      </w:tr>
      <w:tr w:rsidR="00EB6AD8" w:rsidRPr="000C0DB0" w:rsidTr="004B6055">
        <w:tc>
          <w:tcPr>
            <w:tcW w:w="3198" w:type="dxa"/>
          </w:tcPr>
          <w:p w:rsidR="00EB6AD8" w:rsidRPr="000C0DB0" w:rsidRDefault="00EB6AD8" w:rsidP="004B6055">
            <w:pPr>
              <w:pStyle w:val="ListParagraph"/>
              <w:spacing w:line="240" w:lineRule="auto"/>
              <w:ind w:left="0"/>
              <w:rPr>
                <w:rFonts w:cs="Arial"/>
                <w:sz w:val="28"/>
                <w:szCs w:val="28"/>
              </w:rPr>
            </w:pPr>
            <w:r w:rsidRPr="000C0DB0">
              <w:rPr>
                <w:rFonts w:cs="Arial"/>
                <w:sz w:val="28"/>
                <w:szCs w:val="28"/>
              </w:rPr>
              <w:t>Playhouse Company</w:t>
            </w:r>
          </w:p>
        </w:tc>
        <w:tc>
          <w:tcPr>
            <w:tcW w:w="1701" w:type="dxa"/>
          </w:tcPr>
          <w:p w:rsidR="00EB6AD8" w:rsidRPr="000C0DB0" w:rsidRDefault="00EB6AD8" w:rsidP="004B6055">
            <w:pPr>
              <w:pStyle w:val="ListParagraph"/>
              <w:spacing w:line="240" w:lineRule="auto"/>
              <w:ind w:left="0"/>
              <w:jc w:val="both"/>
              <w:rPr>
                <w:rFonts w:cs="Arial"/>
                <w:sz w:val="28"/>
                <w:szCs w:val="28"/>
              </w:rPr>
            </w:pPr>
            <w:r w:rsidRPr="000C0DB0">
              <w:rPr>
                <w:rFonts w:cs="Arial"/>
                <w:sz w:val="28"/>
                <w:szCs w:val="28"/>
              </w:rPr>
              <w:t>49 634</w:t>
            </w:r>
          </w:p>
        </w:tc>
        <w:tc>
          <w:tcPr>
            <w:tcW w:w="1559" w:type="dxa"/>
          </w:tcPr>
          <w:p w:rsidR="00EB6AD8" w:rsidRPr="000C0DB0" w:rsidRDefault="00EB6AD8" w:rsidP="004B6055">
            <w:pPr>
              <w:pStyle w:val="ListParagraph"/>
              <w:spacing w:line="240" w:lineRule="auto"/>
              <w:ind w:left="0"/>
              <w:jc w:val="both"/>
              <w:rPr>
                <w:rFonts w:cs="Arial"/>
                <w:sz w:val="28"/>
                <w:szCs w:val="28"/>
              </w:rPr>
            </w:pPr>
            <w:r w:rsidRPr="000C0DB0">
              <w:rPr>
                <w:rFonts w:cs="Arial"/>
                <w:sz w:val="28"/>
                <w:szCs w:val="28"/>
              </w:rPr>
              <w:t>53 866</w:t>
            </w:r>
          </w:p>
        </w:tc>
        <w:tc>
          <w:tcPr>
            <w:tcW w:w="1696" w:type="dxa"/>
          </w:tcPr>
          <w:p w:rsidR="00EB6AD8" w:rsidRPr="000C0DB0" w:rsidRDefault="00EB6AD8" w:rsidP="004B6055">
            <w:pPr>
              <w:pStyle w:val="ListParagraph"/>
              <w:spacing w:line="240" w:lineRule="auto"/>
              <w:ind w:left="0"/>
              <w:jc w:val="both"/>
              <w:rPr>
                <w:rFonts w:cs="Arial"/>
                <w:sz w:val="28"/>
                <w:szCs w:val="28"/>
              </w:rPr>
            </w:pPr>
            <w:r w:rsidRPr="000C0DB0">
              <w:rPr>
                <w:rFonts w:cs="Arial"/>
                <w:sz w:val="28"/>
                <w:szCs w:val="28"/>
              </w:rPr>
              <w:t>55 193</w:t>
            </w:r>
          </w:p>
        </w:tc>
      </w:tr>
      <w:tr w:rsidR="00EB6AD8" w:rsidRPr="000C0DB0" w:rsidTr="004B6055">
        <w:tc>
          <w:tcPr>
            <w:tcW w:w="3198" w:type="dxa"/>
          </w:tcPr>
          <w:p w:rsidR="00EB6AD8" w:rsidRPr="000C0DB0" w:rsidRDefault="00EB6AD8" w:rsidP="004B6055">
            <w:pPr>
              <w:pStyle w:val="ListParagraph"/>
              <w:spacing w:line="240" w:lineRule="auto"/>
              <w:ind w:left="0"/>
              <w:rPr>
                <w:rFonts w:cs="Arial"/>
                <w:sz w:val="28"/>
                <w:szCs w:val="28"/>
              </w:rPr>
            </w:pPr>
            <w:r w:rsidRPr="000C0DB0">
              <w:rPr>
                <w:rFonts w:cs="Arial"/>
                <w:sz w:val="28"/>
                <w:szCs w:val="28"/>
              </w:rPr>
              <w:t>The Market Theatre Foundation</w:t>
            </w:r>
          </w:p>
        </w:tc>
        <w:tc>
          <w:tcPr>
            <w:tcW w:w="1701" w:type="dxa"/>
          </w:tcPr>
          <w:p w:rsidR="00EB6AD8" w:rsidRPr="000C0DB0" w:rsidRDefault="00EB6AD8" w:rsidP="004B6055">
            <w:pPr>
              <w:pStyle w:val="ListParagraph"/>
              <w:spacing w:line="240" w:lineRule="auto"/>
              <w:ind w:left="0"/>
              <w:jc w:val="both"/>
              <w:rPr>
                <w:rFonts w:cs="Arial"/>
                <w:sz w:val="28"/>
                <w:szCs w:val="28"/>
              </w:rPr>
            </w:pPr>
            <w:r w:rsidRPr="000C0DB0">
              <w:rPr>
                <w:rFonts w:cs="Arial"/>
                <w:sz w:val="28"/>
                <w:szCs w:val="28"/>
              </w:rPr>
              <w:t>48 709</w:t>
            </w:r>
          </w:p>
        </w:tc>
        <w:tc>
          <w:tcPr>
            <w:tcW w:w="1559" w:type="dxa"/>
          </w:tcPr>
          <w:p w:rsidR="00EB6AD8" w:rsidRPr="000C0DB0" w:rsidRDefault="00EB6AD8" w:rsidP="004B6055">
            <w:pPr>
              <w:pStyle w:val="ListParagraph"/>
              <w:spacing w:line="240" w:lineRule="auto"/>
              <w:ind w:left="0"/>
              <w:jc w:val="both"/>
              <w:rPr>
                <w:rFonts w:cs="Arial"/>
                <w:sz w:val="28"/>
                <w:szCs w:val="28"/>
              </w:rPr>
            </w:pPr>
            <w:r w:rsidRPr="000C0DB0">
              <w:rPr>
                <w:rFonts w:cs="Arial"/>
                <w:sz w:val="28"/>
                <w:szCs w:val="28"/>
              </w:rPr>
              <w:t>51 216</w:t>
            </w:r>
          </w:p>
        </w:tc>
        <w:tc>
          <w:tcPr>
            <w:tcW w:w="1696" w:type="dxa"/>
          </w:tcPr>
          <w:p w:rsidR="00EB6AD8" w:rsidRPr="000C0DB0" w:rsidRDefault="00EB6AD8" w:rsidP="004B6055">
            <w:pPr>
              <w:pStyle w:val="ListParagraph"/>
              <w:spacing w:line="240" w:lineRule="auto"/>
              <w:ind w:left="0"/>
              <w:jc w:val="both"/>
              <w:rPr>
                <w:rFonts w:cs="Arial"/>
                <w:sz w:val="28"/>
                <w:szCs w:val="28"/>
              </w:rPr>
            </w:pPr>
            <w:r w:rsidRPr="000C0DB0">
              <w:rPr>
                <w:rFonts w:cs="Arial"/>
                <w:sz w:val="28"/>
                <w:szCs w:val="28"/>
              </w:rPr>
              <w:t>52 561</w:t>
            </w:r>
          </w:p>
        </w:tc>
      </w:tr>
      <w:tr w:rsidR="00EB6AD8" w:rsidRPr="000C0DB0" w:rsidTr="004B6055">
        <w:tc>
          <w:tcPr>
            <w:tcW w:w="3198" w:type="dxa"/>
          </w:tcPr>
          <w:p w:rsidR="00EB6AD8" w:rsidRPr="000C0DB0" w:rsidRDefault="00EB6AD8" w:rsidP="004B6055">
            <w:pPr>
              <w:pStyle w:val="ListParagraph"/>
              <w:spacing w:line="240" w:lineRule="auto"/>
              <w:ind w:left="0"/>
              <w:rPr>
                <w:rFonts w:cs="Arial"/>
                <w:sz w:val="28"/>
                <w:szCs w:val="28"/>
              </w:rPr>
            </w:pPr>
            <w:r w:rsidRPr="000C0DB0">
              <w:rPr>
                <w:rFonts w:cs="Arial"/>
                <w:sz w:val="28"/>
                <w:szCs w:val="28"/>
              </w:rPr>
              <w:t>South African State Theatre</w:t>
            </w:r>
          </w:p>
        </w:tc>
        <w:tc>
          <w:tcPr>
            <w:tcW w:w="1701" w:type="dxa"/>
          </w:tcPr>
          <w:p w:rsidR="00EB6AD8" w:rsidRPr="000C0DB0" w:rsidRDefault="00EB6AD8" w:rsidP="004B6055">
            <w:pPr>
              <w:pStyle w:val="ListParagraph"/>
              <w:spacing w:line="240" w:lineRule="auto"/>
              <w:ind w:left="0"/>
              <w:jc w:val="both"/>
              <w:rPr>
                <w:rFonts w:cs="Arial"/>
                <w:sz w:val="28"/>
                <w:szCs w:val="28"/>
              </w:rPr>
            </w:pPr>
            <w:r w:rsidRPr="000C0DB0">
              <w:rPr>
                <w:rFonts w:cs="Arial"/>
                <w:sz w:val="28"/>
                <w:szCs w:val="28"/>
              </w:rPr>
              <w:t>63 504</w:t>
            </w:r>
          </w:p>
        </w:tc>
        <w:tc>
          <w:tcPr>
            <w:tcW w:w="1559" w:type="dxa"/>
          </w:tcPr>
          <w:p w:rsidR="00EB6AD8" w:rsidRPr="000C0DB0" w:rsidRDefault="00EB6AD8" w:rsidP="004B6055">
            <w:pPr>
              <w:pStyle w:val="ListParagraph"/>
              <w:spacing w:line="240" w:lineRule="auto"/>
              <w:ind w:left="0"/>
              <w:jc w:val="both"/>
              <w:rPr>
                <w:rFonts w:cs="Arial"/>
                <w:sz w:val="28"/>
                <w:szCs w:val="28"/>
              </w:rPr>
            </w:pPr>
            <w:r w:rsidRPr="000C0DB0">
              <w:rPr>
                <w:rFonts w:cs="Arial"/>
                <w:sz w:val="28"/>
                <w:szCs w:val="28"/>
              </w:rPr>
              <w:t>61 247</w:t>
            </w:r>
          </w:p>
        </w:tc>
        <w:tc>
          <w:tcPr>
            <w:tcW w:w="1696" w:type="dxa"/>
          </w:tcPr>
          <w:p w:rsidR="00EB6AD8" w:rsidRPr="000C0DB0" w:rsidRDefault="00EB6AD8" w:rsidP="004B6055">
            <w:pPr>
              <w:pStyle w:val="ListParagraph"/>
              <w:spacing w:line="240" w:lineRule="auto"/>
              <w:ind w:left="0"/>
              <w:jc w:val="both"/>
              <w:rPr>
                <w:rFonts w:cs="Arial"/>
                <w:sz w:val="28"/>
                <w:szCs w:val="28"/>
              </w:rPr>
            </w:pPr>
            <w:r w:rsidRPr="000C0DB0">
              <w:rPr>
                <w:rFonts w:cs="Arial"/>
                <w:sz w:val="28"/>
                <w:szCs w:val="28"/>
              </w:rPr>
              <w:t>62 752</w:t>
            </w:r>
          </w:p>
        </w:tc>
      </w:tr>
      <w:tr w:rsidR="00EB6AD8" w:rsidRPr="000C0DB0" w:rsidTr="004B6055">
        <w:tc>
          <w:tcPr>
            <w:tcW w:w="3198" w:type="dxa"/>
          </w:tcPr>
          <w:p w:rsidR="00EB6AD8" w:rsidRPr="000C0DB0" w:rsidRDefault="00EB6AD8" w:rsidP="004B6055">
            <w:pPr>
              <w:pStyle w:val="ListParagraph"/>
              <w:spacing w:line="240" w:lineRule="auto"/>
              <w:ind w:left="0"/>
              <w:rPr>
                <w:rFonts w:cs="Arial"/>
                <w:sz w:val="28"/>
                <w:szCs w:val="28"/>
              </w:rPr>
            </w:pPr>
            <w:r w:rsidRPr="000C0DB0">
              <w:rPr>
                <w:rFonts w:cs="Arial"/>
                <w:sz w:val="28"/>
                <w:szCs w:val="28"/>
              </w:rPr>
              <w:t>Performing Arts Centre of the Free State (</w:t>
            </w:r>
            <w:proofErr w:type="spellStart"/>
            <w:r w:rsidRPr="000C0DB0">
              <w:rPr>
                <w:rFonts w:cs="Arial"/>
                <w:sz w:val="28"/>
                <w:szCs w:val="28"/>
              </w:rPr>
              <w:t>Pacofs</w:t>
            </w:r>
            <w:proofErr w:type="spellEnd"/>
            <w:r w:rsidRPr="000C0DB0">
              <w:rPr>
                <w:rFonts w:cs="Arial"/>
                <w:sz w:val="28"/>
                <w:szCs w:val="28"/>
              </w:rPr>
              <w:t>)</w:t>
            </w:r>
          </w:p>
        </w:tc>
        <w:tc>
          <w:tcPr>
            <w:tcW w:w="1701" w:type="dxa"/>
          </w:tcPr>
          <w:p w:rsidR="00EB6AD8" w:rsidRPr="000C0DB0" w:rsidRDefault="00EB6AD8" w:rsidP="004B6055">
            <w:pPr>
              <w:pStyle w:val="ListParagraph"/>
              <w:spacing w:line="240" w:lineRule="auto"/>
              <w:ind w:left="0"/>
              <w:jc w:val="both"/>
              <w:rPr>
                <w:rFonts w:cs="Arial"/>
                <w:sz w:val="28"/>
                <w:szCs w:val="28"/>
              </w:rPr>
            </w:pPr>
            <w:r w:rsidRPr="000C0DB0">
              <w:rPr>
                <w:rFonts w:cs="Arial"/>
                <w:sz w:val="28"/>
                <w:szCs w:val="28"/>
              </w:rPr>
              <w:t>46 883</w:t>
            </w:r>
          </w:p>
        </w:tc>
        <w:tc>
          <w:tcPr>
            <w:tcW w:w="1559" w:type="dxa"/>
          </w:tcPr>
          <w:p w:rsidR="00EB6AD8" w:rsidRPr="000C0DB0" w:rsidRDefault="00EB6AD8" w:rsidP="004B6055">
            <w:pPr>
              <w:pStyle w:val="ListParagraph"/>
              <w:spacing w:line="240" w:lineRule="auto"/>
              <w:ind w:left="0"/>
              <w:jc w:val="both"/>
              <w:rPr>
                <w:rFonts w:cs="Arial"/>
                <w:sz w:val="28"/>
                <w:szCs w:val="28"/>
              </w:rPr>
            </w:pPr>
            <w:r w:rsidRPr="000C0DB0">
              <w:rPr>
                <w:rFonts w:cs="Arial"/>
                <w:sz w:val="28"/>
                <w:szCs w:val="28"/>
              </w:rPr>
              <w:t>48 823</w:t>
            </w:r>
          </w:p>
        </w:tc>
        <w:tc>
          <w:tcPr>
            <w:tcW w:w="1696" w:type="dxa"/>
          </w:tcPr>
          <w:p w:rsidR="00EB6AD8" w:rsidRPr="000C0DB0" w:rsidRDefault="00EB6AD8" w:rsidP="004B6055">
            <w:pPr>
              <w:pStyle w:val="ListParagraph"/>
              <w:spacing w:line="240" w:lineRule="auto"/>
              <w:ind w:left="0"/>
              <w:jc w:val="both"/>
              <w:rPr>
                <w:rFonts w:cs="Arial"/>
                <w:sz w:val="28"/>
                <w:szCs w:val="28"/>
              </w:rPr>
            </w:pPr>
            <w:r w:rsidRPr="000C0DB0">
              <w:rPr>
                <w:rFonts w:cs="Arial"/>
                <w:sz w:val="28"/>
                <w:szCs w:val="28"/>
              </w:rPr>
              <w:t>50 024</w:t>
            </w:r>
          </w:p>
        </w:tc>
      </w:tr>
      <w:tr w:rsidR="00EB6AD8" w:rsidRPr="000C0DB0" w:rsidTr="004B6055">
        <w:tc>
          <w:tcPr>
            <w:tcW w:w="3198" w:type="dxa"/>
          </w:tcPr>
          <w:p w:rsidR="00EB6AD8" w:rsidRPr="000C0DB0" w:rsidRDefault="00EB6AD8" w:rsidP="004B6055">
            <w:pPr>
              <w:pStyle w:val="ListParagraph"/>
              <w:spacing w:line="240" w:lineRule="auto"/>
              <w:ind w:left="0"/>
              <w:rPr>
                <w:rFonts w:cs="Arial"/>
                <w:sz w:val="28"/>
                <w:szCs w:val="28"/>
              </w:rPr>
            </w:pPr>
            <w:r w:rsidRPr="000C0DB0">
              <w:rPr>
                <w:rFonts w:cs="Arial"/>
                <w:sz w:val="28"/>
                <w:szCs w:val="28"/>
              </w:rPr>
              <w:t>Mandela Bay Theatre Complex</w:t>
            </w:r>
          </w:p>
        </w:tc>
        <w:tc>
          <w:tcPr>
            <w:tcW w:w="1701" w:type="dxa"/>
          </w:tcPr>
          <w:p w:rsidR="00EB6AD8" w:rsidRPr="000C0DB0" w:rsidRDefault="00EB6AD8" w:rsidP="004B6055">
            <w:pPr>
              <w:pStyle w:val="ListParagraph"/>
              <w:spacing w:line="240" w:lineRule="auto"/>
              <w:ind w:left="0"/>
              <w:jc w:val="both"/>
              <w:rPr>
                <w:rFonts w:cs="Arial"/>
                <w:sz w:val="28"/>
                <w:szCs w:val="28"/>
              </w:rPr>
            </w:pPr>
            <w:r w:rsidRPr="000C0DB0">
              <w:rPr>
                <w:rFonts w:cs="Arial"/>
                <w:sz w:val="28"/>
                <w:szCs w:val="28"/>
              </w:rPr>
              <w:t>N/A</w:t>
            </w:r>
          </w:p>
        </w:tc>
        <w:tc>
          <w:tcPr>
            <w:tcW w:w="1559" w:type="dxa"/>
          </w:tcPr>
          <w:p w:rsidR="00EB6AD8" w:rsidRPr="000C0DB0" w:rsidRDefault="00EB6AD8" w:rsidP="004B6055">
            <w:pPr>
              <w:pStyle w:val="ListParagraph"/>
              <w:spacing w:line="240" w:lineRule="auto"/>
              <w:ind w:left="0"/>
              <w:jc w:val="both"/>
              <w:rPr>
                <w:rFonts w:cs="Arial"/>
                <w:sz w:val="28"/>
                <w:szCs w:val="28"/>
              </w:rPr>
            </w:pPr>
            <w:r w:rsidRPr="000C0DB0">
              <w:rPr>
                <w:rFonts w:cs="Arial"/>
                <w:sz w:val="28"/>
                <w:szCs w:val="28"/>
              </w:rPr>
              <w:t>N/A</w:t>
            </w:r>
          </w:p>
        </w:tc>
        <w:tc>
          <w:tcPr>
            <w:tcW w:w="1696" w:type="dxa"/>
          </w:tcPr>
          <w:p w:rsidR="00EB6AD8" w:rsidRPr="000C0DB0" w:rsidRDefault="00EB6AD8" w:rsidP="00EB6AD8">
            <w:pPr>
              <w:pStyle w:val="ListParagraph"/>
              <w:numPr>
                <w:ilvl w:val="0"/>
                <w:numId w:val="1"/>
              </w:numPr>
              <w:spacing w:after="0" w:line="240" w:lineRule="auto"/>
              <w:jc w:val="both"/>
              <w:rPr>
                <w:rFonts w:cs="Arial"/>
                <w:sz w:val="28"/>
                <w:szCs w:val="28"/>
              </w:rPr>
            </w:pPr>
            <w:r w:rsidRPr="000C0DB0">
              <w:rPr>
                <w:rFonts w:cs="Arial"/>
                <w:sz w:val="28"/>
                <w:szCs w:val="28"/>
              </w:rPr>
              <w:t>00</w:t>
            </w:r>
          </w:p>
        </w:tc>
      </w:tr>
    </w:tbl>
    <w:p w:rsidR="00EB6AD8" w:rsidRPr="000C0DB0" w:rsidRDefault="00EB6AD8" w:rsidP="00EB6AD8">
      <w:pPr>
        <w:pStyle w:val="ListParagraph"/>
        <w:shd w:val="clear" w:color="auto" w:fill="FFFFFF"/>
        <w:spacing w:line="240" w:lineRule="auto"/>
        <w:ind w:left="1080"/>
        <w:jc w:val="both"/>
        <w:rPr>
          <w:rFonts w:cs="Arial"/>
          <w:sz w:val="28"/>
          <w:szCs w:val="28"/>
        </w:rPr>
      </w:pPr>
    </w:p>
    <w:p w:rsidR="00EB6AD8" w:rsidRPr="000C0DB0" w:rsidRDefault="00EB6AD8" w:rsidP="00EB6AD8">
      <w:pPr>
        <w:shd w:val="clear" w:color="auto" w:fill="FFFFFF"/>
        <w:jc w:val="both"/>
        <w:rPr>
          <w:rFonts w:ascii="Arial" w:hAnsi="Arial" w:cs="Arial"/>
          <w:sz w:val="28"/>
          <w:szCs w:val="28"/>
        </w:rPr>
      </w:pPr>
      <w:r w:rsidRPr="000C0DB0">
        <w:rPr>
          <w:rFonts w:ascii="Arial" w:hAnsi="Arial" w:cs="Arial"/>
          <w:sz w:val="28"/>
          <w:szCs w:val="28"/>
        </w:rPr>
        <w:t xml:space="preserve">(b). </w:t>
      </w:r>
      <w:r w:rsidRPr="000C0DB0">
        <w:rPr>
          <w:rFonts w:ascii="Arial" w:hAnsi="Arial" w:cs="Arial"/>
          <w:sz w:val="28"/>
          <w:szCs w:val="28"/>
        </w:rPr>
        <w:tab/>
        <w:t xml:space="preserve">Performing Arts Centre of the Free State commissioned an investigation on </w:t>
      </w:r>
      <w:r w:rsidRPr="000C0DB0">
        <w:rPr>
          <w:rFonts w:ascii="Arial" w:hAnsi="Arial" w:cs="Arial"/>
          <w:sz w:val="28"/>
          <w:szCs w:val="28"/>
        </w:rPr>
        <w:tab/>
        <w:t xml:space="preserve">allegations of nepotism, irregular suspension, and abuse of power by the </w:t>
      </w:r>
      <w:r w:rsidRPr="000C0DB0">
        <w:rPr>
          <w:rFonts w:ascii="Arial" w:hAnsi="Arial" w:cs="Arial"/>
          <w:sz w:val="28"/>
          <w:szCs w:val="28"/>
        </w:rPr>
        <w:tab/>
        <w:t xml:space="preserve">former Chief Executive Officer. The report was </w:t>
      </w:r>
      <w:r>
        <w:rPr>
          <w:rFonts w:ascii="Arial" w:hAnsi="Arial" w:cs="Arial"/>
          <w:sz w:val="28"/>
          <w:szCs w:val="28"/>
        </w:rPr>
        <w:lastRenderedPageBreak/>
        <w:t xml:space="preserve">completed in October 2020 </w:t>
      </w:r>
      <w:r w:rsidRPr="000C0DB0">
        <w:rPr>
          <w:rFonts w:ascii="Arial" w:hAnsi="Arial" w:cs="Arial"/>
          <w:sz w:val="28"/>
          <w:szCs w:val="28"/>
        </w:rPr>
        <w:t xml:space="preserve">and Council implemented the recommendations of the report. There are no </w:t>
      </w:r>
      <w:r w:rsidRPr="000C0DB0">
        <w:rPr>
          <w:rFonts w:ascii="Arial" w:hAnsi="Arial" w:cs="Arial"/>
          <w:sz w:val="28"/>
          <w:szCs w:val="28"/>
        </w:rPr>
        <w:tab/>
        <w:t xml:space="preserve">ongoing investigations in the theatres mentioned above. </w:t>
      </w:r>
    </w:p>
    <w:p w:rsidR="00430C9C" w:rsidRDefault="00430C9C"/>
    <w:sectPr w:rsidR="00430C9C" w:rsidSect="00F748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768C7"/>
    <w:multiLevelType w:val="hybridMultilevel"/>
    <w:tmpl w:val="4244933A"/>
    <w:lvl w:ilvl="0" w:tplc="91584EE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B6AD8"/>
    <w:rsid w:val="003401F2"/>
    <w:rsid w:val="00430C9C"/>
    <w:rsid w:val="00871B1D"/>
    <w:rsid w:val="00EB6AD8"/>
    <w:rsid w:val="00F7484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D8"/>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EB6AD8"/>
    <w:pPr>
      <w:spacing w:after="200" w:line="276" w:lineRule="auto"/>
      <w:ind w:left="993"/>
    </w:pPr>
    <w:rPr>
      <w:rFonts w:ascii="Arial" w:hAnsi="Arial"/>
      <w:sz w:val="18"/>
      <w:szCs w:val="18"/>
      <w:lang w:val="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1"/>
    <w:qFormat/>
    <w:rsid w:val="00EB6AD8"/>
    <w:pPr>
      <w:spacing w:after="200" w:line="276" w:lineRule="auto"/>
      <w:ind w:left="720"/>
      <w:contextualSpacing/>
    </w:pPr>
    <w:rPr>
      <w:rFonts w:ascii="Arial" w:hAnsi="Arial"/>
      <w:sz w:val="18"/>
      <w:szCs w:val="22"/>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1"/>
    <w:locked/>
    <w:rsid w:val="00EB6AD8"/>
    <w:rPr>
      <w:rFonts w:ascii="Arial" w:hAnsi="Arial"/>
      <w:sz w:val="18"/>
    </w:rPr>
  </w:style>
  <w:style w:type="table" w:styleId="TableGrid">
    <w:name w:val="Table Grid"/>
    <w:basedOn w:val="TableNormal"/>
    <w:uiPriority w:val="59"/>
    <w:rsid w:val="00EB6AD8"/>
    <w:pPr>
      <w:spacing w:after="0" w:line="240" w:lineRule="auto"/>
    </w:pPr>
    <w:rPr>
      <w:rFonts w:eastAsiaTheme="minorEastAsia"/>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Sibongile Mbotwe</dc:creator>
  <cp:lastModifiedBy>USER</cp:lastModifiedBy>
  <cp:revision>2</cp:revision>
  <dcterms:created xsi:type="dcterms:W3CDTF">2023-06-15T08:46:00Z</dcterms:created>
  <dcterms:modified xsi:type="dcterms:W3CDTF">2023-06-15T08:46:00Z</dcterms:modified>
</cp:coreProperties>
</file>