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3" w:rsidRPr="00640AD4" w:rsidRDefault="00640AD4" w:rsidP="00640A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0AD4">
        <w:rPr>
          <w:rFonts w:ascii="Arial" w:hAnsi="Arial" w:cs="Arial"/>
          <w:b/>
          <w:sz w:val="20"/>
          <w:szCs w:val="20"/>
        </w:rPr>
        <w:t>National Assembly</w:t>
      </w:r>
      <w:r w:rsidRPr="00640AD4">
        <w:rPr>
          <w:rFonts w:ascii="Arial" w:hAnsi="Arial" w:cs="Arial"/>
          <w:b/>
          <w:sz w:val="20"/>
          <w:szCs w:val="20"/>
        </w:rPr>
        <w:br/>
      </w:r>
      <w:r w:rsidRPr="00640AD4">
        <w:rPr>
          <w:rFonts w:ascii="Arial" w:hAnsi="Arial" w:cs="Arial"/>
          <w:b/>
          <w:sz w:val="20"/>
          <w:szCs w:val="20"/>
        </w:rPr>
        <w:br/>
        <w:t xml:space="preserve">Question Number: </w:t>
      </w:r>
      <w:r w:rsidRPr="00640AD4">
        <w:rPr>
          <w:rFonts w:ascii="Arial" w:hAnsi="Arial" w:cs="Arial"/>
          <w:b/>
          <w:bCs/>
          <w:sz w:val="20"/>
          <w:szCs w:val="20"/>
        </w:rPr>
        <w:t>1750</w:t>
      </w:r>
      <w:r w:rsidRPr="00640AD4">
        <w:rPr>
          <w:rFonts w:ascii="Arial" w:hAnsi="Arial" w:cs="Arial"/>
          <w:b/>
          <w:i/>
          <w:iCs/>
          <w:sz w:val="20"/>
          <w:szCs w:val="20"/>
        </w:rPr>
        <w:br/>
      </w:r>
      <w:r w:rsidRPr="00640AD4">
        <w:rPr>
          <w:rFonts w:ascii="Arial" w:hAnsi="Arial" w:cs="Arial"/>
          <w:b/>
          <w:i/>
          <w:iCs/>
          <w:sz w:val="20"/>
          <w:szCs w:val="20"/>
        </w:rPr>
        <w:br/>
      </w:r>
      <w:r w:rsidRPr="00640AD4">
        <w:rPr>
          <w:rFonts w:ascii="Arial" w:hAnsi="Arial" w:cs="Arial"/>
          <w:b/>
          <w:bCs/>
          <w:sz w:val="20"/>
          <w:szCs w:val="20"/>
        </w:rPr>
        <w:t xml:space="preserve">Mr S </w:t>
      </w:r>
      <w:r w:rsidRPr="00640AD4">
        <w:rPr>
          <w:rFonts w:ascii="Arial" w:hAnsi="Arial" w:cs="Arial"/>
          <w:b/>
          <w:sz w:val="20"/>
          <w:szCs w:val="20"/>
        </w:rPr>
        <w:t xml:space="preserve">J Masango (DA) to </w:t>
      </w:r>
      <w:r w:rsidRPr="00640AD4">
        <w:rPr>
          <w:rFonts w:ascii="Arial" w:hAnsi="Arial" w:cs="Arial"/>
          <w:b/>
          <w:bCs/>
          <w:sz w:val="20"/>
          <w:szCs w:val="20"/>
        </w:rPr>
        <w:t xml:space="preserve">ask </w:t>
      </w:r>
      <w:r w:rsidRPr="00640AD4">
        <w:rPr>
          <w:rFonts w:ascii="Arial" w:hAnsi="Arial" w:cs="Arial"/>
          <w:b/>
          <w:sz w:val="20"/>
          <w:szCs w:val="20"/>
        </w:rPr>
        <w:t>the Minister of Transport</w:t>
      </w:r>
      <w:proofErr w:type="gramStart"/>
      <w:r w:rsidRPr="00640AD4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(a) What total amount was given to the SA Taxi Council (i) in the (aa) 2012-13. (</w:t>
      </w:r>
      <w:proofErr w:type="gramStart"/>
      <w:r w:rsidRPr="00640AD4">
        <w:rPr>
          <w:rFonts w:ascii="Arial" w:hAnsi="Arial" w:cs="Arial"/>
          <w:sz w:val="20"/>
          <w:szCs w:val="20"/>
        </w:rPr>
        <w:t>bb</w:t>
      </w:r>
      <w:proofErr w:type="gramEnd"/>
      <w:r w:rsidRPr="00640AD4">
        <w:rPr>
          <w:rFonts w:ascii="Arial" w:hAnsi="Arial" w:cs="Arial"/>
          <w:sz w:val="20"/>
          <w:szCs w:val="20"/>
        </w:rPr>
        <w:t>) 2013</w:t>
      </w:r>
      <w:r>
        <w:rPr>
          <w:rFonts w:ascii="Arial" w:hAnsi="Arial" w:cs="Arial"/>
          <w:sz w:val="20"/>
          <w:szCs w:val="20"/>
        </w:rPr>
        <w:t>-</w:t>
      </w:r>
      <w:r w:rsidRPr="00640AD4">
        <w:rPr>
          <w:rFonts w:ascii="Arial" w:hAnsi="Arial" w:cs="Arial"/>
          <w:sz w:val="20"/>
          <w:szCs w:val="20"/>
        </w:rPr>
        <w:t xml:space="preserve">14 and (cc) 2014-15 financial years and (ii) since </w:t>
      </w:r>
      <w:r>
        <w:rPr>
          <w:rFonts w:ascii="Arial" w:hAnsi="Arial" w:cs="Arial"/>
          <w:sz w:val="20"/>
          <w:szCs w:val="20"/>
        </w:rPr>
        <w:t>1</w:t>
      </w:r>
      <w:r w:rsidRPr="00640AD4">
        <w:rPr>
          <w:rFonts w:ascii="Arial" w:hAnsi="Arial" w:cs="Arial"/>
          <w:sz w:val="20"/>
          <w:szCs w:val="20"/>
        </w:rPr>
        <w:t xml:space="preserve"> April 2015 and (b) what </w:t>
      </w:r>
      <w:r w:rsidRPr="00640AD4">
        <w:rPr>
          <w:rFonts w:ascii="Arial" w:hAnsi="Arial" w:cs="Arial"/>
          <w:bCs/>
          <w:sz w:val="20"/>
          <w:szCs w:val="20"/>
        </w:rPr>
        <w:t xml:space="preserve">were </w:t>
      </w:r>
      <w:r w:rsidRPr="00640AD4">
        <w:rPr>
          <w:rFonts w:ascii="Arial" w:hAnsi="Arial" w:cs="Arial"/>
          <w:sz w:val="20"/>
          <w:szCs w:val="20"/>
        </w:rPr>
        <w:t>these funds used for in each</w:t>
      </w:r>
      <w:r>
        <w:rPr>
          <w:rFonts w:ascii="Arial" w:hAnsi="Arial" w:cs="Arial"/>
          <w:sz w:val="20"/>
          <w:szCs w:val="20"/>
        </w:rPr>
        <w:t xml:space="preserve"> case? NW19</w:t>
      </w:r>
      <w:r w:rsidRPr="00640AD4">
        <w:rPr>
          <w:rFonts w:ascii="Arial" w:hAnsi="Arial" w:cs="Arial"/>
          <w:sz w:val="20"/>
          <w:szCs w:val="20"/>
        </w:rPr>
        <w:t>68E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(a) (i) Payments to SANTACO are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(aa) 2012-13 financial year R16 460 000.00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 xml:space="preserve">(bb) 2013-14 financial year R17 365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(cc) 2014-15 financial year R18 407 000.00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(ii) The process of concluding a</w:t>
      </w:r>
      <w:r>
        <w:rPr>
          <w:rFonts w:ascii="Arial" w:hAnsi="Arial" w:cs="Arial"/>
          <w:sz w:val="20"/>
          <w:szCs w:val="20"/>
        </w:rPr>
        <w:t>n MOA with SANTACO for the 2015/</w:t>
      </w:r>
      <w:r w:rsidRPr="00640AD4">
        <w:rPr>
          <w:rFonts w:ascii="Arial" w:hAnsi="Arial" w:cs="Arial"/>
          <w:sz w:val="20"/>
          <w:szCs w:val="20"/>
        </w:rPr>
        <w:t>16 year is still underway, therefore no</w:t>
      </w:r>
      <w:r>
        <w:rPr>
          <w:rFonts w:ascii="Arial" w:hAnsi="Arial" w:cs="Arial"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payment has been made since April 2015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(b) These amounts are allocated to SANTACO every financial year based on the recommendations of the</w:t>
      </w:r>
      <w:r>
        <w:rPr>
          <w:rFonts w:ascii="Arial" w:hAnsi="Arial" w:cs="Arial"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1996 National Taxi Task Team (NTTT) that comprised of members from Provincial Departments, the</w:t>
      </w:r>
      <w:r>
        <w:rPr>
          <w:rFonts w:ascii="Arial" w:hAnsi="Arial" w:cs="Arial"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National Department and the Taxi Industry. Key recommendations of the National Taxi Task Team</w:t>
      </w:r>
      <w:r>
        <w:rPr>
          <w:rFonts w:ascii="Arial" w:hAnsi="Arial" w:cs="Arial"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were</w:t>
      </w:r>
      <w:proofErr w:type="gramStart"/>
      <w:r w:rsidRPr="00640AD4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>Formalization of the Taxi industry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Regulation and Control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Training and Capaci</w:t>
      </w:r>
      <w:r w:rsidRPr="00640AD4">
        <w:rPr>
          <w:rFonts w:ascii="Arial" w:hAnsi="Arial" w:cs="Arial"/>
          <w:sz w:val="20"/>
          <w:szCs w:val="20"/>
        </w:rPr>
        <w:t xml:space="preserve">ty Building 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Safety and Law Enforcement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  <w:lang w:val="en-ZA"/>
        </w:rPr>
        <w:t>▪</w:t>
      </w:r>
      <w:r w:rsidRPr="00532ADB">
        <w:rPr>
          <w:rFonts w:ascii="Arial" w:hAnsi="Arial" w:cs="Arial"/>
          <w:bCs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Economic Empowerment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40AD4">
        <w:rPr>
          <w:rFonts w:ascii="Arial" w:hAnsi="Arial" w:cs="Arial"/>
          <w:sz w:val="20"/>
          <w:szCs w:val="20"/>
        </w:rPr>
        <w:t xml:space="preserve">Government committed to funding the establishment of SANTACO to </w:t>
      </w:r>
      <w:r>
        <w:rPr>
          <w:rFonts w:ascii="Arial" w:hAnsi="Arial" w:cs="Arial"/>
          <w:sz w:val="20"/>
          <w:szCs w:val="20"/>
        </w:rPr>
        <w:t>suppor</w:t>
      </w:r>
      <w:r w:rsidRPr="00640AD4">
        <w:rPr>
          <w:rFonts w:ascii="Arial" w:hAnsi="Arial" w:cs="Arial"/>
          <w:sz w:val="20"/>
          <w:szCs w:val="20"/>
        </w:rPr>
        <w:t>t the formalisation of the</w:t>
      </w:r>
      <w:r>
        <w:rPr>
          <w:rFonts w:ascii="Arial" w:hAnsi="Arial" w:cs="Arial"/>
          <w:sz w:val="20"/>
          <w:szCs w:val="20"/>
        </w:rPr>
        <w:t xml:space="preserve"> </w:t>
      </w:r>
      <w:r w:rsidRPr="00640AD4">
        <w:rPr>
          <w:rFonts w:ascii="Arial" w:hAnsi="Arial" w:cs="Arial"/>
          <w:sz w:val="20"/>
          <w:szCs w:val="20"/>
        </w:rPr>
        <w:t>Industry as well as to implement the key recommendations of the National Taxi Task Team.</w:t>
      </w:r>
      <w:r>
        <w:rPr>
          <w:rFonts w:ascii="Arial" w:hAnsi="Arial" w:cs="Arial"/>
          <w:sz w:val="20"/>
          <w:szCs w:val="20"/>
        </w:rPr>
        <w:br/>
      </w:r>
    </w:p>
    <w:sectPr w:rsidR="005D3403" w:rsidRPr="00640AD4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640AD4"/>
    <w:rsid w:val="005D3403"/>
    <w:rsid w:val="00640AD4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1061</Characters>
  <Application>Microsoft Office Word</Application>
  <DocSecurity>0</DocSecurity>
  <Lines>8</Lines>
  <Paragraphs>2</Paragraphs>
  <ScaleCrop>false</ScaleCrop>
  <Company>Deftones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2015-07-01T13:11:00Z</dcterms:created>
  <dcterms:modified xsi:type="dcterms:W3CDTF">2015-07-01T13:34:00Z</dcterms:modified>
</cp:coreProperties>
</file>