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9D4A25"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1749</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9D4A25">
        <w:rPr>
          <w:rFonts w:ascii="Arial" w:eastAsia="Arial Unicode MS" w:hAnsi="Arial" w:cs="Arial"/>
          <w:b/>
          <w:bCs/>
          <w:bdr w:val="nil"/>
          <w:lang w:val="en-US"/>
        </w:rPr>
        <w:t>6 May</w:t>
      </w:r>
      <w:r w:rsidR="005F1119">
        <w:rPr>
          <w:rFonts w:ascii="Arial" w:eastAsia="Arial Unicode MS" w:hAnsi="Arial" w:cs="Arial"/>
          <w:b/>
          <w:bCs/>
          <w:bdr w:val="nil"/>
          <w:lang w:val="en-US"/>
        </w:rPr>
        <w:t xml:space="preserve"> 2022</w:t>
      </w:r>
    </w:p>
    <w:p w:rsidR="00DB6BD3" w:rsidRPr="00DB6BD3" w:rsidRDefault="009D4A25"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747DE8">
        <w:rPr>
          <w:rFonts w:ascii="Arial" w:eastAsia="Arial Unicode MS" w:hAnsi="Arial" w:cs="Arial"/>
          <w:b/>
          <w:bCs/>
          <w:bdr w:val="nil"/>
          <w:lang w:val="en-US"/>
        </w:rPr>
        <w:tab/>
      </w:r>
      <w:r w:rsidR="00747DE8">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9D4A25" w:rsidRDefault="009D4A25" w:rsidP="00EF5A52">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9D4A25">
        <w:rPr>
          <w:rFonts w:ascii="Arial" w:eastAsia="Calibri" w:hAnsi="Arial" w:cs="Arial"/>
        </w:rPr>
        <w:t>(a) What number of officials within (</w:t>
      </w:r>
      <w:proofErr w:type="spellStart"/>
      <w:r w:rsidRPr="009D4A25">
        <w:rPr>
          <w:rFonts w:ascii="Arial" w:eastAsia="Calibri" w:hAnsi="Arial" w:cs="Arial"/>
        </w:rPr>
        <w:t>i</w:t>
      </w:r>
      <w:proofErr w:type="spellEnd"/>
      <w:r w:rsidRPr="009D4A25">
        <w:rPr>
          <w:rFonts w:ascii="Arial" w:eastAsia="Calibri" w:hAnsi="Arial" w:cs="Arial"/>
        </w:rPr>
        <w:t>) her department and (ii) SA Tourism were found to be involved in criminal activities in each month (</w:t>
      </w:r>
      <w:proofErr w:type="spellStart"/>
      <w:r w:rsidRPr="009D4A25">
        <w:rPr>
          <w:rFonts w:ascii="Arial" w:eastAsia="Calibri" w:hAnsi="Arial" w:cs="Arial"/>
        </w:rPr>
        <w:t>i</w:t>
      </w:r>
      <w:proofErr w:type="spellEnd"/>
      <w:r w:rsidRPr="009D4A25">
        <w:rPr>
          <w:rFonts w:ascii="Arial" w:eastAsia="Calibri" w:hAnsi="Arial" w:cs="Arial"/>
        </w:rPr>
        <w:t>) in the past three financial years and (ii) since 1 April 2022 to date, (b) on what date was each official found to be involved in such activities in each case, (c) how were the specified officials found to be involved in such activities in each case, (d) how were the specified officials found to have conducted illegal activities, (e) what is the nature of the specified activities in each case, (f) what number of the officials were referred to the SA Police Service and charged in each case and (g)(</w:t>
      </w:r>
      <w:proofErr w:type="spellStart"/>
      <w:r w:rsidRPr="009D4A25">
        <w:rPr>
          <w:rFonts w:ascii="Arial" w:eastAsia="Calibri" w:hAnsi="Arial" w:cs="Arial"/>
        </w:rPr>
        <w:t>i</w:t>
      </w:r>
      <w:proofErr w:type="spellEnd"/>
      <w:r w:rsidRPr="009D4A25">
        <w:rPr>
          <w:rFonts w:ascii="Arial" w:eastAsia="Calibri" w:hAnsi="Arial" w:cs="Arial"/>
        </w:rPr>
        <w:t>) which of the specified officials paid back funds in each case and (ii) what were the amounts paid back in each case?</w:t>
      </w:r>
      <w:r w:rsidRPr="009D4A25">
        <w:rPr>
          <w:rFonts w:ascii="Arial" w:eastAsia="Calibri" w:hAnsi="Arial" w:cs="Arial"/>
        </w:rPr>
        <w:tab/>
      </w:r>
      <w:r w:rsidRPr="009D4A25">
        <w:rPr>
          <w:rFonts w:ascii="Arial" w:eastAsia="Calibri" w:hAnsi="Arial" w:cs="Arial"/>
        </w:rPr>
        <w:tab/>
      </w:r>
      <w:r w:rsidRPr="009D4A25">
        <w:rPr>
          <w:rFonts w:ascii="Arial" w:eastAsia="Calibri" w:hAnsi="Arial" w:cs="Arial"/>
        </w:rPr>
        <w:tab/>
      </w:r>
      <w:r w:rsidRPr="009D4A25">
        <w:rPr>
          <w:rFonts w:ascii="Arial" w:eastAsia="Calibri" w:hAnsi="Arial" w:cs="Arial"/>
        </w:rPr>
        <w:tab/>
      </w:r>
    </w:p>
    <w:p w:rsidR="00C4519C" w:rsidRPr="0085273F" w:rsidRDefault="009D4A25" w:rsidP="009D4A25">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85273F">
        <w:rPr>
          <w:rFonts w:ascii="Arial" w:eastAsia="Calibri" w:hAnsi="Arial" w:cs="Arial"/>
        </w:rPr>
        <w:t>NW2078E</w:t>
      </w:r>
    </w:p>
    <w:p w:rsidR="00DA6EE7" w:rsidRPr="0085273F"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Pr="0085273F"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85273F">
        <w:rPr>
          <w:rFonts w:ascii="Arial" w:eastAsia="Arial Unicode MS" w:hAnsi="Arial" w:cs="Arial"/>
          <w:b/>
          <w:bCs/>
          <w:bdr w:val="nil"/>
          <w:lang w:val="en-US"/>
        </w:rPr>
        <w:t>REPLY</w:t>
      </w:r>
      <w:r w:rsidR="004F2C4A" w:rsidRPr="0085273F">
        <w:rPr>
          <w:rFonts w:ascii="Arial" w:eastAsia="Arial Unicode MS" w:hAnsi="Arial" w:cs="Arial"/>
          <w:b/>
          <w:bCs/>
          <w:bdr w:val="nil"/>
          <w:lang w:val="en-US"/>
        </w:rPr>
        <w:t>:</w:t>
      </w:r>
    </w:p>
    <w:p w:rsidR="00447EC9" w:rsidRPr="0085273F"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Pr="00A26AAA" w:rsidRDefault="002A13BD"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b/>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xml:space="preserve">) </w:t>
      </w:r>
      <w:r w:rsidRPr="00A26AAA">
        <w:rPr>
          <w:rFonts w:ascii="Arial" w:eastAsia="Calibri" w:hAnsi="Arial" w:cs="Arial"/>
          <w:b/>
          <w:lang w:val="en-GB"/>
        </w:rPr>
        <w:t xml:space="preserve">Department </w:t>
      </w:r>
    </w:p>
    <w:tbl>
      <w:tblPr>
        <w:tblStyle w:val="TableGrid"/>
        <w:tblW w:w="0" w:type="auto"/>
        <w:tblInd w:w="-5" w:type="dxa"/>
        <w:tblLook w:val="04A0"/>
      </w:tblPr>
      <w:tblGrid>
        <w:gridCol w:w="1924"/>
        <w:gridCol w:w="1924"/>
        <w:gridCol w:w="1925"/>
        <w:gridCol w:w="3158"/>
      </w:tblGrid>
      <w:tr w:rsidR="002A13BD" w:rsidRPr="0085273F" w:rsidTr="002A13BD">
        <w:tc>
          <w:tcPr>
            <w:tcW w:w="1924" w:type="dxa"/>
            <w:tcBorders>
              <w:left w:val="single" w:sz="4" w:space="0" w:color="auto"/>
            </w:tcBorders>
            <w:shd w:val="clear" w:color="auto" w:fill="D9D9D9" w:themeFill="background1" w:themeFillShade="D9"/>
          </w:tcPr>
          <w:p w:rsidR="002A13BD" w:rsidRPr="0085273F" w:rsidRDefault="002A13BD" w:rsidP="001E0E0F">
            <w:pPr>
              <w:spacing w:line="360" w:lineRule="auto"/>
              <w:rPr>
                <w:rFonts w:ascii="Arial" w:eastAsia="Calibri" w:hAnsi="Arial" w:cs="Arial"/>
                <w:lang w:val="en-GB"/>
              </w:rPr>
            </w:pPr>
            <w:r w:rsidRPr="0085273F">
              <w:rPr>
                <w:rFonts w:ascii="Arial" w:eastAsia="Calibri" w:hAnsi="Arial" w:cs="Arial"/>
                <w:lang w:val="en-GB"/>
              </w:rPr>
              <w:t>(</w:t>
            </w:r>
            <w:proofErr w:type="spellStart"/>
            <w:r w:rsidRPr="0085273F">
              <w:rPr>
                <w:rFonts w:ascii="Arial" w:eastAsia="Calibri" w:hAnsi="Arial" w:cs="Arial"/>
                <w:lang w:val="en-GB"/>
              </w:rPr>
              <w:t>i</w:t>
            </w:r>
            <w:proofErr w:type="spellEnd"/>
            <w:r w:rsidRPr="0085273F">
              <w:rPr>
                <w:rFonts w:ascii="Arial" w:eastAsia="Calibri" w:hAnsi="Arial" w:cs="Arial"/>
                <w:lang w:val="en-GB"/>
              </w:rPr>
              <w:t>) 2019/2020</w:t>
            </w:r>
          </w:p>
        </w:tc>
        <w:tc>
          <w:tcPr>
            <w:tcW w:w="1924" w:type="dxa"/>
            <w:shd w:val="clear" w:color="auto" w:fill="D9D9D9" w:themeFill="background1" w:themeFillShade="D9"/>
          </w:tcPr>
          <w:p w:rsidR="002A13BD" w:rsidRPr="0085273F" w:rsidRDefault="002A13BD" w:rsidP="001E0E0F">
            <w:pPr>
              <w:spacing w:line="360" w:lineRule="auto"/>
              <w:rPr>
                <w:rFonts w:ascii="Arial" w:eastAsia="Calibri" w:hAnsi="Arial" w:cs="Arial"/>
                <w:lang w:val="en-GB"/>
              </w:rPr>
            </w:pPr>
            <w:r w:rsidRPr="0085273F">
              <w:rPr>
                <w:rFonts w:ascii="Arial" w:eastAsia="Calibri" w:hAnsi="Arial" w:cs="Arial"/>
                <w:lang w:val="en-GB"/>
              </w:rPr>
              <w:t>(</w:t>
            </w:r>
            <w:proofErr w:type="spellStart"/>
            <w:r w:rsidRPr="0085273F">
              <w:rPr>
                <w:rFonts w:ascii="Arial" w:eastAsia="Calibri" w:hAnsi="Arial" w:cs="Arial"/>
                <w:lang w:val="en-GB"/>
              </w:rPr>
              <w:t>i</w:t>
            </w:r>
            <w:proofErr w:type="spellEnd"/>
            <w:r w:rsidRPr="0085273F">
              <w:rPr>
                <w:rFonts w:ascii="Arial" w:eastAsia="Calibri" w:hAnsi="Arial" w:cs="Arial"/>
                <w:lang w:val="en-GB"/>
              </w:rPr>
              <w:t>) 2020/2021</w:t>
            </w:r>
          </w:p>
        </w:tc>
        <w:tc>
          <w:tcPr>
            <w:tcW w:w="1925" w:type="dxa"/>
            <w:shd w:val="clear" w:color="auto" w:fill="D9D9D9" w:themeFill="background1" w:themeFillShade="D9"/>
          </w:tcPr>
          <w:p w:rsidR="002A13BD" w:rsidRPr="0085273F" w:rsidRDefault="002A13BD" w:rsidP="001E0E0F">
            <w:pPr>
              <w:spacing w:line="360" w:lineRule="auto"/>
              <w:rPr>
                <w:rFonts w:ascii="Arial" w:eastAsia="Calibri" w:hAnsi="Arial" w:cs="Arial"/>
                <w:lang w:val="en-GB"/>
              </w:rPr>
            </w:pPr>
            <w:r w:rsidRPr="0085273F">
              <w:rPr>
                <w:rFonts w:ascii="Arial" w:eastAsia="Calibri" w:hAnsi="Arial" w:cs="Arial"/>
                <w:lang w:val="en-GB"/>
              </w:rPr>
              <w:t>(</w:t>
            </w:r>
            <w:proofErr w:type="spellStart"/>
            <w:r w:rsidRPr="0085273F">
              <w:rPr>
                <w:rFonts w:ascii="Arial" w:eastAsia="Calibri" w:hAnsi="Arial" w:cs="Arial"/>
                <w:lang w:val="en-GB"/>
              </w:rPr>
              <w:t>i</w:t>
            </w:r>
            <w:proofErr w:type="spellEnd"/>
            <w:r w:rsidRPr="0085273F">
              <w:rPr>
                <w:rFonts w:ascii="Arial" w:eastAsia="Calibri" w:hAnsi="Arial" w:cs="Arial"/>
                <w:lang w:val="en-GB"/>
              </w:rPr>
              <w:t>)  2021/2022</w:t>
            </w:r>
          </w:p>
        </w:tc>
        <w:tc>
          <w:tcPr>
            <w:tcW w:w="3158" w:type="dxa"/>
            <w:shd w:val="clear" w:color="auto" w:fill="D9D9D9" w:themeFill="background1" w:themeFillShade="D9"/>
          </w:tcPr>
          <w:p w:rsidR="002A13BD" w:rsidRPr="0085273F" w:rsidRDefault="002A13BD" w:rsidP="001E0E0F">
            <w:pPr>
              <w:spacing w:line="360" w:lineRule="auto"/>
              <w:rPr>
                <w:rFonts w:ascii="Arial" w:eastAsia="Calibri" w:hAnsi="Arial" w:cs="Arial"/>
                <w:lang w:val="en-GB"/>
              </w:rPr>
            </w:pPr>
            <w:r w:rsidRPr="0085273F">
              <w:rPr>
                <w:rFonts w:ascii="Arial" w:eastAsia="Calibri" w:hAnsi="Arial" w:cs="Arial"/>
                <w:lang w:val="en-GB"/>
              </w:rPr>
              <w:t>(ii)  Since 1 April 2022</w:t>
            </w:r>
          </w:p>
        </w:tc>
      </w:tr>
      <w:tr w:rsidR="002A13BD" w:rsidRPr="0085273F" w:rsidTr="002A13BD">
        <w:tc>
          <w:tcPr>
            <w:tcW w:w="1924" w:type="dxa"/>
          </w:tcPr>
          <w:p w:rsidR="002A13BD" w:rsidRPr="0085273F" w:rsidRDefault="002A13BD" w:rsidP="001E0E0F">
            <w:pPr>
              <w:spacing w:line="360" w:lineRule="auto"/>
              <w:rPr>
                <w:rFonts w:ascii="Arial" w:eastAsia="Calibri" w:hAnsi="Arial" w:cs="Arial"/>
                <w:lang w:val="en-GB"/>
              </w:rPr>
            </w:pPr>
            <w:r w:rsidRPr="0085273F">
              <w:rPr>
                <w:rFonts w:ascii="Arial" w:eastAsia="Calibri" w:hAnsi="Arial" w:cs="Arial"/>
                <w:lang w:val="en-GB"/>
              </w:rPr>
              <w:t>11</w:t>
            </w:r>
            <w:r>
              <w:rPr>
                <w:rFonts w:ascii="Arial" w:eastAsia="Calibri" w:hAnsi="Arial" w:cs="Arial"/>
                <w:lang w:val="en-GB"/>
              </w:rPr>
              <w:t xml:space="preserve"> (eleven)</w:t>
            </w:r>
          </w:p>
        </w:tc>
        <w:tc>
          <w:tcPr>
            <w:tcW w:w="1924" w:type="dxa"/>
          </w:tcPr>
          <w:p w:rsidR="002A13BD" w:rsidRPr="0085273F" w:rsidRDefault="002A13BD" w:rsidP="001E0E0F">
            <w:pPr>
              <w:spacing w:line="360" w:lineRule="auto"/>
              <w:rPr>
                <w:rFonts w:ascii="Arial" w:eastAsia="Calibri" w:hAnsi="Arial" w:cs="Arial"/>
                <w:lang w:val="en-GB"/>
              </w:rPr>
            </w:pPr>
            <w:r>
              <w:rPr>
                <w:rFonts w:ascii="Arial" w:eastAsia="Calibri" w:hAnsi="Arial" w:cs="Arial"/>
                <w:lang w:val="en-GB"/>
              </w:rPr>
              <w:t>None</w:t>
            </w:r>
          </w:p>
        </w:tc>
        <w:tc>
          <w:tcPr>
            <w:tcW w:w="1925" w:type="dxa"/>
          </w:tcPr>
          <w:p w:rsidR="002A13BD" w:rsidRPr="0085273F" w:rsidRDefault="002A13BD" w:rsidP="001E0E0F">
            <w:pPr>
              <w:spacing w:line="360" w:lineRule="auto"/>
              <w:rPr>
                <w:rFonts w:ascii="Arial" w:eastAsia="Calibri" w:hAnsi="Arial" w:cs="Arial"/>
                <w:lang w:val="en-GB"/>
              </w:rPr>
            </w:pPr>
            <w:r>
              <w:rPr>
                <w:rFonts w:ascii="Arial" w:eastAsia="Calibri" w:hAnsi="Arial" w:cs="Arial"/>
                <w:lang w:val="en-GB"/>
              </w:rPr>
              <w:t>None</w:t>
            </w:r>
          </w:p>
        </w:tc>
        <w:tc>
          <w:tcPr>
            <w:tcW w:w="3158" w:type="dxa"/>
          </w:tcPr>
          <w:p w:rsidR="002A13BD" w:rsidRPr="0085273F" w:rsidRDefault="002A13BD" w:rsidP="001E0E0F">
            <w:pPr>
              <w:spacing w:line="360" w:lineRule="auto"/>
              <w:rPr>
                <w:rFonts w:ascii="Arial" w:eastAsia="Calibri" w:hAnsi="Arial" w:cs="Arial"/>
                <w:lang w:val="en-GB"/>
              </w:rPr>
            </w:pPr>
            <w:r>
              <w:rPr>
                <w:rFonts w:ascii="Arial" w:eastAsia="Calibri" w:hAnsi="Arial" w:cs="Arial"/>
                <w:lang w:val="en-GB"/>
              </w:rPr>
              <w:t>None</w:t>
            </w:r>
          </w:p>
        </w:tc>
      </w:tr>
    </w:tbl>
    <w:p w:rsidR="0093463C" w:rsidRPr="0085273F" w:rsidRDefault="0093463C" w:rsidP="009D4A25">
      <w:pPr>
        <w:pBdr>
          <w:top w:val="nil"/>
          <w:left w:val="nil"/>
          <w:bottom w:val="nil"/>
          <w:right w:val="nil"/>
          <w:between w:val="nil"/>
          <w:bar w:val="nil"/>
        </w:pBdr>
        <w:spacing w:after="0" w:line="360" w:lineRule="auto"/>
        <w:rPr>
          <w:rFonts w:ascii="Arial" w:eastAsia="Calibri" w:hAnsi="Arial" w:cs="Arial"/>
          <w:lang w:val="en-GB"/>
        </w:rPr>
      </w:pPr>
    </w:p>
    <w:p w:rsidR="009D4A25" w:rsidRPr="0085273F" w:rsidRDefault="00F95301" w:rsidP="009D4A2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lang w:val="en-GB"/>
        </w:rPr>
      </w:pPr>
      <w:r w:rsidRPr="0085273F">
        <w:rPr>
          <w:rFonts w:ascii="Arial" w:eastAsia="Calibri" w:hAnsi="Arial" w:cs="Arial"/>
          <w:lang w:val="en-GB"/>
        </w:rPr>
        <w:t>A period between 2005 and 2014.</w:t>
      </w:r>
    </w:p>
    <w:p w:rsidR="009D4A25" w:rsidRPr="0085273F" w:rsidRDefault="009D4A25" w:rsidP="009D4A25">
      <w:pPr>
        <w:pBdr>
          <w:top w:val="nil"/>
          <w:left w:val="nil"/>
          <w:bottom w:val="nil"/>
          <w:right w:val="nil"/>
          <w:between w:val="nil"/>
          <w:bar w:val="nil"/>
        </w:pBdr>
        <w:spacing w:after="0" w:line="360" w:lineRule="auto"/>
        <w:rPr>
          <w:rFonts w:ascii="Arial" w:eastAsia="Calibri" w:hAnsi="Arial" w:cs="Arial"/>
          <w:lang w:val="en-GB"/>
        </w:rPr>
      </w:pPr>
    </w:p>
    <w:p w:rsidR="00295018" w:rsidRPr="00295018" w:rsidRDefault="00295018" w:rsidP="00740EC5">
      <w:pPr>
        <w:pStyle w:val="ListParagraph"/>
        <w:numPr>
          <w:ilvl w:val="0"/>
          <w:numId w:val="22"/>
        </w:numPr>
        <w:pBdr>
          <w:top w:val="nil"/>
          <w:left w:val="nil"/>
          <w:bottom w:val="nil"/>
          <w:right w:val="nil"/>
          <w:between w:val="nil"/>
          <w:bar w:val="nil"/>
        </w:pBdr>
        <w:spacing w:after="0" w:line="276" w:lineRule="auto"/>
        <w:ind w:left="567" w:hanging="567"/>
        <w:jc w:val="both"/>
        <w:rPr>
          <w:rFonts w:ascii="Arial" w:eastAsia="Calibri" w:hAnsi="Arial" w:cs="Arial"/>
          <w:lang w:val="en-GB"/>
        </w:rPr>
      </w:pPr>
      <w:r>
        <w:rPr>
          <w:rFonts w:ascii="Arial" w:hAnsi="Arial" w:cs="Arial"/>
        </w:rPr>
        <w:t>a</w:t>
      </w:r>
      <w:r w:rsidR="00020831" w:rsidRPr="00295018">
        <w:rPr>
          <w:rFonts w:ascii="Arial" w:hAnsi="Arial" w:cs="Arial"/>
        </w:rPr>
        <w:t>nd</w:t>
      </w:r>
      <w:r w:rsidRPr="00295018">
        <w:rPr>
          <w:rFonts w:ascii="Arial" w:hAnsi="Arial" w:cs="Arial"/>
        </w:rPr>
        <w:t xml:space="preserve"> </w:t>
      </w:r>
      <w:r>
        <w:rPr>
          <w:rFonts w:ascii="Arial" w:hAnsi="Arial" w:cs="Arial"/>
        </w:rPr>
        <w:t>(d) Transgressions</w:t>
      </w:r>
      <w:r w:rsidR="008A536D" w:rsidRPr="00295018">
        <w:rPr>
          <w:rFonts w:ascii="Arial" w:hAnsi="Arial" w:cs="Arial"/>
        </w:rPr>
        <w:t xml:space="preserve"> were identified </w:t>
      </w:r>
      <w:r w:rsidR="004A72E4" w:rsidRPr="00295018">
        <w:rPr>
          <w:rFonts w:ascii="Arial" w:hAnsi="Arial" w:cs="Arial"/>
        </w:rPr>
        <w:t xml:space="preserve">through a forensic investigation after </w:t>
      </w:r>
      <w:r w:rsidR="008A536D" w:rsidRPr="00295018">
        <w:rPr>
          <w:rFonts w:ascii="Arial" w:hAnsi="Arial" w:cs="Arial"/>
        </w:rPr>
        <w:t>AGSA</w:t>
      </w:r>
      <w:r w:rsidR="004A72E4" w:rsidRPr="00295018">
        <w:rPr>
          <w:rFonts w:ascii="Arial" w:hAnsi="Arial" w:cs="Arial"/>
        </w:rPr>
        <w:t xml:space="preserve"> audit </w:t>
      </w:r>
    </w:p>
    <w:p w:rsidR="00740EC5" w:rsidRPr="00295018" w:rsidRDefault="00295018" w:rsidP="00295018">
      <w:pPr>
        <w:pBdr>
          <w:top w:val="nil"/>
          <w:left w:val="nil"/>
          <w:bottom w:val="nil"/>
          <w:right w:val="nil"/>
          <w:between w:val="nil"/>
          <w:bar w:val="nil"/>
        </w:pBdr>
        <w:spacing w:after="0" w:line="276" w:lineRule="auto"/>
        <w:ind w:firstLine="567"/>
        <w:jc w:val="both"/>
        <w:rPr>
          <w:rFonts w:ascii="Arial" w:eastAsia="Calibri" w:hAnsi="Arial" w:cs="Arial"/>
          <w:lang w:val="en-GB"/>
        </w:rPr>
      </w:pPr>
      <w:r w:rsidRPr="00295018">
        <w:rPr>
          <w:rFonts w:ascii="Arial" w:hAnsi="Arial" w:cs="Arial"/>
        </w:rPr>
        <w:t xml:space="preserve"> f</w:t>
      </w:r>
      <w:r w:rsidR="004A72E4" w:rsidRPr="00295018">
        <w:rPr>
          <w:rFonts w:ascii="Arial" w:hAnsi="Arial" w:cs="Arial"/>
        </w:rPr>
        <w:t>indings</w:t>
      </w:r>
      <w:r w:rsidR="00A650CD" w:rsidRPr="00295018">
        <w:rPr>
          <w:rFonts w:ascii="Arial" w:hAnsi="Arial" w:cs="Arial"/>
        </w:rPr>
        <w:t>.</w:t>
      </w:r>
    </w:p>
    <w:p w:rsidR="00740EC5" w:rsidRPr="00740EC5" w:rsidRDefault="00740EC5" w:rsidP="00740EC5">
      <w:pPr>
        <w:pStyle w:val="ListParagraph"/>
        <w:rPr>
          <w:rFonts w:ascii="Arial" w:hAnsi="Arial" w:cs="Arial"/>
        </w:rPr>
      </w:pPr>
    </w:p>
    <w:p w:rsidR="001C6AAC" w:rsidRPr="001C6AAC" w:rsidRDefault="0085273F" w:rsidP="001C6AAC">
      <w:pPr>
        <w:pStyle w:val="ListParagraph"/>
        <w:numPr>
          <w:ilvl w:val="0"/>
          <w:numId w:val="22"/>
        </w:numPr>
        <w:pBdr>
          <w:top w:val="nil"/>
          <w:left w:val="nil"/>
          <w:bottom w:val="nil"/>
          <w:right w:val="nil"/>
          <w:between w:val="nil"/>
          <w:bar w:val="nil"/>
        </w:pBdr>
        <w:spacing w:after="0" w:line="276" w:lineRule="auto"/>
        <w:ind w:left="567" w:hanging="567"/>
        <w:jc w:val="both"/>
        <w:rPr>
          <w:rFonts w:ascii="Arial" w:eastAsia="Calibri" w:hAnsi="Arial" w:cs="Arial"/>
          <w:lang w:val="en-GB"/>
        </w:rPr>
      </w:pPr>
      <w:r w:rsidRPr="00740EC5">
        <w:rPr>
          <w:rFonts w:ascii="Arial" w:hAnsi="Arial" w:cs="Arial"/>
        </w:rPr>
        <w:t>Contravention of PFMA provisions</w:t>
      </w:r>
      <w:r w:rsidR="000D463D" w:rsidRPr="00740EC5">
        <w:rPr>
          <w:rFonts w:ascii="Arial" w:hAnsi="Arial" w:cs="Arial"/>
        </w:rPr>
        <w:t>.</w:t>
      </w:r>
    </w:p>
    <w:p w:rsidR="001C6AAC" w:rsidRPr="001C6AAC" w:rsidRDefault="001C6AAC" w:rsidP="001C6AAC">
      <w:pPr>
        <w:pStyle w:val="ListParagraph"/>
        <w:rPr>
          <w:rFonts w:ascii="Arial" w:eastAsia="Calibri" w:hAnsi="Arial" w:cs="Arial"/>
          <w:lang w:val="en-GB"/>
        </w:rPr>
      </w:pPr>
    </w:p>
    <w:p w:rsidR="00CA7901" w:rsidRPr="00CA7901" w:rsidRDefault="00F95301" w:rsidP="00CA7901">
      <w:pPr>
        <w:pStyle w:val="ListParagraph"/>
        <w:numPr>
          <w:ilvl w:val="0"/>
          <w:numId w:val="22"/>
        </w:numPr>
        <w:pBdr>
          <w:top w:val="nil"/>
          <w:left w:val="nil"/>
          <w:bottom w:val="nil"/>
          <w:right w:val="nil"/>
          <w:between w:val="nil"/>
          <w:bar w:val="nil"/>
        </w:pBdr>
        <w:spacing w:after="0" w:line="276" w:lineRule="auto"/>
        <w:ind w:left="567" w:hanging="567"/>
        <w:jc w:val="both"/>
        <w:rPr>
          <w:rFonts w:ascii="Arial" w:eastAsia="Calibri" w:hAnsi="Arial" w:cs="Arial"/>
          <w:lang w:val="en-GB"/>
        </w:rPr>
      </w:pPr>
      <w:r w:rsidRPr="001C6AAC">
        <w:rPr>
          <w:rFonts w:ascii="Arial" w:eastAsia="Calibri" w:hAnsi="Arial" w:cs="Arial"/>
          <w:lang w:val="en-GB"/>
        </w:rPr>
        <w:t xml:space="preserve">11 </w:t>
      </w:r>
      <w:r w:rsidR="0085273F" w:rsidRPr="001C6AAC">
        <w:rPr>
          <w:rFonts w:ascii="Arial" w:eastAsia="Calibri" w:hAnsi="Arial" w:cs="Arial"/>
          <w:lang w:val="en-GB"/>
        </w:rPr>
        <w:t>O</w:t>
      </w:r>
      <w:r w:rsidRPr="001C6AAC">
        <w:rPr>
          <w:rFonts w:ascii="Arial" w:eastAsia="Calibri" w:hAnsi="Arial" w:cs="Arial"/>
          <w:lang w:val="en-GB"/>
        </w:rPr>
        <w:t>fficials from the Department</w:t>
      </w:r>
      <w:r w:rsidR="00BF2FB4" w:rsidRPr="001C6AAC">
        <w:rPr>
          <w:rFonts w:ascii="Arial" w:eastAsia="Calibri" w:hAnsi="Arial" w:cs="Arial"/>
          <w:lang w:val="en-GB"/>
        </w:rPr>
        <w:t xml:space="preserve"> are implicated</w:t>
      </w:r>
      <w:r w:rsidR="001C6AAC">
        <w:rPr>
          <w:rFonts w:ascii="Arial" w:eastAsia="Calibri" w:hAnsi="Arial" w:cs="Arial"/>
        </w:rPr>
        <w:t xml:space="preserve"> but </w:t>
      </w:r>
      <w:r w:rsidR="00D70A87">
        <w:rPr>
          <w:rFonts w:ascii="Arial" w:eastAsia="Calibri" w:hAnsi="Arial" w:cs="Arial"/>
        </w:rPr>
        <w:t>to the department’s knowledge no one has been charged</w:t>
      </w:r>
      <w:r w:rsidR="00085D32">
        <w:rPr>
          <w:rFonts w:ascii="Arial" w:eastAsia="Calibri" w:hAnsi="Arial" w:cs="Arial"/>
        </w:rPr>
        <w:t xml:space="preserve"> as yet</w:t>
      </w:r>
      <w:r w:rsidR="001C6AAC">
        <w:rPr>
          <w:rFonts w:ascii="Arial" w:eastAsia="Calibri" w:hAnsi="Arial" w:cs="Arial"/>
        </w:rPr>
        <w:t xml:space="preserve"> as matters are still under police investigation.</w:t>
      </w:r>
    </w:p>
    <w:p w:rsidR="00CA7901" w:rsidRPr="00CA7901" w:rsidRDefault="00CA7901" w:rsidP="00CA7901">
      <w:pPr>
        <w:pStyle w:val="ListParagraph"/>
        <w:rPr>
          <w:rFonts w:ascii="Arial" w:eastAsia="Calibri" w:hAnsi="Arial" w:cs="Arial"/>
          <w:lang w:val="en-GB"/>
        </w:rPr>
      </w:pPr>
    </w:p>
    <w:p w:rsidR="00B75ED5" w:rsidRPr="00CA7901" w:rsidRDefault="00B221CC" w:rsidP="00CA7901">
      <w:pPr>
        <w:pStyle w:val="ListParagraph"/>
        <w:numPr>
          <w:ilvl w:val="0"/>
          <w:numId w:val="22"/>
        </w:numPr>
        <w:pBdr>
          <w:top w:val="nil"/>
          <w:left w:val="nil"/>
          <w:bottom w:val="nil"/>
          <w:right w:val="nil"/>
          <w:between w:val="nil"/>
          <w:bar w:val="nil"/>
        </w:pBdr>
        <w:spacing w:after="0" w:line="276" w:lineRule="auto"/>
        <w:ind w:left="567" w:hanging="567"/>
        <w:jc w:val="both"/>
        <w:rPr>
          <w:rFonts w:ascii="Arial" w:eastAsia="Calibri" w:hAnsi="Arial" w:cs="Arial"/>
          <w:lang w:val="en-GB"/>
        </w:rPr>
      </w:pPr>
      <w:r w:rsidRPr="00CA7901">
        <w:rPr>
          <w:rFonts w:ascii="Arial" w:eastAsia="Calibri" w:hAnsi="Arial" w:cs="Arial"/>
          <w:lang w:val="en-GB"/>
        </w:rPr>
        <w:t>(</w:t>
      </w:r>
      <w:proofErr w:type="spellStart"/>
      <w:r w:rsidRPr="00CA7901">
        <w:rPr>
          <w:rFonts w:ascii="Arial" w:eastAsia="Calibri" w:hAnsi="Arial" w:cs="Arial"/>
          <w:lang w:val="en-GB"/>
        </w:rPr>
        <w:t>i</w:t>
      </w:r>
      <w:proofErr w:type="spellEnd"/>
      <w:r w:rsidRPr="00CA7901">
        <w:rPr>
          <w:rFonts w:ascii="Arial" w:eastAsia="Calibri" w:hAnsi="Arial" w:cs="Arial"/>
          <w:lang w:val="en-GB"/>
        </w:rPr>
        <w:t xml:space="preserve">)  </w:t>
      </w:r>
      <w:r w:rsidR="00F95301" w:rsidRPr="00CA7901">
        <w:rPr>
          <w:rFonts w:ascii="Arial" w:eastAsia="Calibri" w:hAnsi="Arial" w:cs="Arial"/>
          <w:lang w:val="en-GB"/>
        </w:rPr>
        <w:t>Currently, no mon</w:t>
      </w:r>
      <w:r w:rsidR="008A2C68">
        <w:rPr>
          <w:rFonts w:ascii="Arial" w:eastAsia="Calibri" w:hAnsi="Arial" w:cs="Arial"/>
          <w:lang w:val="en-GB"/>
        </w:rPr>
        <w:t>ey</w:t>
      </w:r>
      <w:r w:rsidR="00F95301" w:rsidRPr="00CA7901">
        <w:rPr>
          <w:rFonts w:ascii="Arial" w:eastAsia="Calibri" w:hAnsi="Arial" w:cs="Arial"/>
          <w:lang w:val="en-GB"/>
        </w:rPr>
        <w:t xml:space="preserve"> ha</w:t>
      </w:r>
      <w:r w:rsidR="008A2C68">
        <w:rPr>
          <w:rFonts w:ascii="Arial" w:eastAsia="Calibri" w:hAnsi="Arial" w:cs="Arial"/>
          <w:lang w:val="en-GB"/>
        </w:rPr>
        <w:t>s</w:t>
      </w:r>
      <w:r w:rsidR="00F95301" w:rsidRPr="00CA7901">
        <w:rPr>
          <w:rFonts w:ascii="Arial" w:eastAsia="Calibri" w:hAnsi="Arial" w:cs="Arial"/>
          <w:lang w:val="en-GB"/>
        </w:rPr>
        <w:t xml:space="preserve"> been paid back as the</w:t>
      </w:r>
      <w:r w:rsidR="008A2C68">
        <w:rPr>
          <w:rFonts w:ascii="Arial" w:eastAsia="Calibri" w:hAnsi="Arial" w:cs="Arial"/>
          <w:lang w:val="en-GB"/>
        </w:rPr>
        <w:t xml:space="preserve"> police</w:t>
      </w:r>
      <w:r w:rsidR="00F95301" w:rsidRPr="00CA7901">
        <w:rPr>
          <w:rFonts w:ascii="Arial" w:eastAsia="Calibri" w:hAnsi="Arial" w:cs="Arial"/>
          <w:lang w:val="en-GB"/>
        </w:rPr>
        <w:t xml:space="preserve"> investigation is still underway.</w:t>
      </w:r>
    </w:p>
    <w:p w:rsidR="00B221CC" w:rsidRPr="00E176BC" w:rsidRDefault="00B221CC" w:rsidP="002A13BD">
      <w:pPr>
        <w:pStyle w:val="ListParagraph"/>
        <w:pBdr>
          <w:top w:val="nil"/>
          <w:left w:val="nil"/>
          <w:bottom w:val="nil"/>
          <w:right w:val="nil"/>
          <w:between w:val="nil"/>
          <w:bar w:val="nil"/>
        </w:pBdr>
        <w:spacing w:after="0" w:line="276" w:lineRule="auto"/>
        <w:ind w:left="567"/>
        <w:jc w:val="both"/>
        <w:rPr>
          <w:rFonts w:ascii="Arial" w:eastAsia="Calibri" w:hAnsi="Arial" w:cs="Arial"/>
          <w:lang w:val="en-GB"/>
        </w:rPr>
      </w:pPr>
      <w:r w:rsidRPr="00E176BC">
        <w:rPr>
          <w:rFonts w:ascii="Arial" w:eastAsia="Calibri" w:hAnsi="Arial" w:cs="Arial"/>
          <w:lang w:val="en-GB"/>
        </w:rPr>
        <w:t xml:space="preserve">(ii)  </w:t>
      </w:r>
      <w:r w:rsidR="00BA0758">
        <w:rPr>
          <w:rFonts w:ascii="Arial" w:eastAsia="Calibri" w:hAnsi="Arial" w:cs="Arial"/>
        </w:rPr>
        <w:t>Not applicable.</w:t>
      </w:r>
    </w:p>
    <w:p w:rsidR="00B75ED5" w:rsidRDefault="00B75ED5" w:rsidP="002A13BD">
      <w:pPr>
        <w:pBdr>
          <w:top w:val="nil"/>
          <w:left w:val="nil"/>
          <w:bottom w:val="nil"/>
          <w:right w:val="nil"/>
          <w:between w:val="nil"/>
          <w:bar w:val="nil"/>
        </w:pBdr>
        <w:spacing w:after="0" w:line="276" w:lineRule="auto"/>
        <w:jc w:val="both"/>
        <w:rPr>
          <w:rFonts w:ascii="Arial" w:eastAsia="Calibri" w:hAnsi="Arial" w:cs="Arial"/>
          <w:lang w:val="en-GB"/>
        </w:rPr>
      </w:pPr>
    </w:p>
    <w:p w:rsidR="002A13BD" w:rsidRDefault="002A13BD" w:rsidP="002A13BD">
      <w:pPr>
        <w:pBdr>
          <w:top w:val="nil"/>
          <w:left w:val="nil"/>
          <w:bottom w:val="nil"/>
          <w:right w:val="nil"/>
          <w:between w:val="nil"/>
          <w:bar w:val="nil"/>
        </w:pBdr>
        <w:spacing w:after="0" w:line="276" w:lineRule="auto"/>
        <w:jc w:val="both"/>
        <w:rPr>
          <w:rFonts w:ascii="Arial" w:eastAsia="Calibri" w:hAnsi="Arial" w:cs="Arial"/>
          <w:lang w:val="en-GB"/>
        </w:rPr>
      </w:pPr>
    </w:p>
    <w:p w:rsidR="002A13BD" w:rsidRDefault="002A13BD" w:rsidP="002A13BD">
      <w:p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t>(a)(ii</w:t>
      </w:r>
      <w:r w:rsidR="003B32C2">
        <w:rPr>
          <w:rFonts w:ascii="Arial" w:eastAsia="Calibri" w:hAnsi="Arial" w:cs="Arial"/>
          <w:lang w:val="en-GB"/>
        </w:rPr>
        <w:t>) South</w:t>
      </w:r>
      <w:r w:rsidRPr="00A26AAA">
        <w:rPr>
          <w:rFonts w:ascii="Arial" w:eastAsia="Calibri" w:hAnsi="Arial" w:cs="Arial"/>
          <w:b/>
          <w:lang w:val="en-GB"/>
        </w:rPr>
        <w:t xml:space="preserve"> Africa Tourism</w:t>
      </w:r>
      <w:r>
        <w:rPr>
          <w:rFonts w:ascii="Arial" w:eastAsia="Calibri" w:hAnsi="Arial" w:cs="Arial"/>
          <w:lang w:val="en-GB"/>
        </w:rPr>
        <w:t xml:space="preserve"> </w:t>
      </w:r>
    </w:p>
    <w:p w:rsidR="002A13BD" w:rsidRPr="002A13BD" w:rsidRDefault="002A13BD" w:rsidP="002A13BD">
      <w:pPr>
        <w:pBdr>
          <w:top w:val="nil"/>
          <w:left w:val="nil"/>
          <w:bottom w:val="nil"/>
          <w:right w:val="nil"/>
          <w:between w:val="nil"/>
          <w:bar w:val="nil"/>
        </w:pBdr>
        <w:spacing w:after="0" w:line="276" w:lineRule="auto"/>
        <w:jc w:val="both"/>
        <w:rPr>
          <w:rFonts w:ascii="Arial" w:eastAsia="Calibri" w:hAnsi="Arial" w:cs="Arial"/>
          <w:lang w:val="en-GB"/>
        </w:rPr>
      </w:pPr>
    </w:p>
    <w:tbl>
      <w:tblPr>
        <w:tblStyle w:val="TableGrid"/>
        <w:tblW w:w="9781" w:type="dxa"/>
        <w:tblInd w:w="-5" w:type="dxa"/>
        <w:tblLook w:val="04A0"/>
      </w:tblPr>
      <w:tblGrid>
        <w:gridCol w:w="1924"/>
        <w:gridCol w:w="1924"/>
        <w:gridCol w:w="1925"/>
        <w:gridCol w:w="4008"/>
      </w:tblGrid>
      <w:tr w:rsidR="002A13BD" w:rsidRPr="0085273F" w:rsidTr="002A13BD">
        <w:tc>
          <w:tcPr>
            <w:tcW w:w="1924" w:type="dxa"/>
            <w:tcBorders>
              <w:left w:val="single" w:sz="4" w:space="0" w:color="auto"/>
            </w:tcBorders>
            <w:shd w:val="clear" w:color="auto" w:fill="D9D9D9" w:themeFill="background1" w:themeFillShade="D9"/>
          </w:tcPr>
          <w:p w:rsidR="002A13BD" w:rsidRPr="002A13BD" w:rsidRDefault="002A13BD" w:rsidP="00B45E33">
            <w:pPr>
              <w:spacing w:line="360" w:lineRule="auto"/>
              <w:rPr>
                <w:rFonts w:ascii="Arial" w:eastAsia="Calibri" w:hAnsi="Arial" w:cs="Arial"/>
                <w:b/>
                <w:lang w:val="en-GB"/>
              </w:rPr>
            </w:pPr>
            <w:r w:rsidRPr="002A13BD">
              <w:rPr>
                <w:rFonts w:ascii="Arial" w:eastAsia="Calibri" w:hAnsi="Arial" w:cs="Arial"/>
                <w:b/>
                <w:lang w:val="en-GB"/>
              </w:rPr>
              <w:t>(</w:t>
            </w:r>
            <w:proofErr w:type="spellStart"/>
            <w:r w:rsidRPr="002A13BD">
              <w:rPr>
                <w:rFonts w:ascii="Arial" w:eastAsia="Calibri" w:hAnsi="Arial" w:cs="Arial"/>
                <w:b/>
                <w:lang w:val="en-GB"/>
              </w:rPr>
              <w:t>i</w:t>
            </w:r>
            <w:proofErr w:type="spellEnd"/>
            <w:r w:rsidRPr="002A13BD">
              <w:rPr>
                <w:rFonts w:ascii="Arial" w:eastAsia="Calibri" w:hAnsi="Arial" w:cs="Arial"/>
                <w:b/>
                <w:lang w:val="en-GB"/>
              </w:rPr>
              <w:t>) 2019/2020</w:t>
            </w:r>
          </w:p>
        </w:tc>
        <w:tc>
          <w:tcPr>
            <w:tcW w:w="1924" w:type="dxa"/>
            <w:shd w:val="clear" w:color="auto" w:fill="D9D9D9" w:themeFill="background1" w:themeFillShade="D9"/>
          </w:tcPr>
          <w:p w:rsidR="002A13BD" w:rsidRPr="002A13BD" w:rsidRDefault="002A13BD" w:rsidP="00B45E33">
            <w:pPr>
              <w:spacing w:line="360" w:lineRule="auto"/>
              <w:rPr>
                <w:rFonts w:ascii="Arial" w:eastAsia="Calibri" w:hAnsi="Arial" w:cs="Arial"/>
                <w:b/>
                <w:lang w:val="en-GB"/>
              </w:rPr>
            </w:pPr>
            <w:r w:rsidRPr="002A13BD">
              <w:rPr>
                <w:rFonts w:ascii="Arial" w:eastAsia="Calibri" w:hAnsi="Arial" w:cs="Arial"/>
                <w:b/>
                <w:lang w:val="en-GB"/>
              </w:rPr>
              <w:t>(</w:t>
            </w:r>
            <w:proofErr w:type="spellStart"/>
            <w:r w:rsidRPr="002A13BD">
              <w:rPr>
                <w:rFonts w:ascii="Arial" w:eastAsia="Calibri" w:hAnsi="Arial" w:cs="Arial"/>
                <w:b/>
                <w:lang w:val="en-GB"/>
              </w:rPr>
              <w:t>i</w:t>
            </w:r>
            <w:proofErr w:type="spellEnd"/>
            <w:r w:rsidRPr="002A13BD">
              <w:rPr>
                <w:rFonts w:ascii="Arial" w:eastAsia="Calibri" w:hAnsi="Arial" w:cs="Arial"/>
                <w:b/>
                <w:lang w:val="en-GB"/>
              </w:rPr>
              <w:t>) 2020/2021</w:t>
            </w:r>
          </w:p>
        </w:tc>
        <w:tc>
          <w:tcPr>
            <w:tcW w:w="1925" w:type="dxa"/>
            <w:shd w:val="clear" w:color="auto" w:fill="D9D9D9" w:themeFill="background1" w:themeFillShade="D9"/>
          </w:tcPr>
          <w:p w:rsidR="002A13BD" w:rsidRPr="002A13BD" w:rsidRDefault="002A13BD" w:rsidP="00B45E33">
            <w:pPr>
              <w:spacing w:line="360" w:lineRule="auto"/>
              <w:rPr>
                <w:rFonts w:ascii="Arial" w:eastAsia="Calibri" w:hAnsi="Arial" w:cs="Arial"/>
                <w:b/>
                <w:lang w:val="en-GB"/>
              </w:rPr>
            </w:pPr>
            <w:r w:rsidRPr="002A13BD">
              <w:rPr>
                <w:rFonts w:ascii="Arial" w:eastAsia="Calibri" w:hAnsi="Arial" w:cs="Arial"/>
                <w:b/>
                <w:lang w:val="en-GB"/>
              </w:rPr>
              <w:t>(</w:t>
            </w:r>
            <w:proofErr w:type="spellStart"/>
            <w:r w:rsidRPr="002A13BD">
              <w:rPr>
                <w:rFonts w:ascii="Arial" w:eastAsia="Calibri" w:hAnsi="Arial" w:cs="Arial"/>
                <w:b/>
                <w:lang w:val="en-GB"/>
              </w:rPr>
              <w:t>i</w:t>
            </w:r>
            <w:proofErr w:type="spellEnd"/>
            <w:r w:rsidRPr="002A13BD">
              <w:rPr>
                <w:rFonts w:ascii="Arial" w:eastAsia="Calibri" w:hAnsi="Arial" w:cs="Arial"/>
                <w:b/>
                <w:lang w:val="en-GB"/>
              </w:rPr>
              <w:t>)  2021/2022</w:t>
            </w:r>
          </w:p>
        </w:tc>
        <w:tc>
          <w:tcPr>
            <w:tcW w:w="4008" w:type="dxa"/>
            <w:shd w:val="clear" w:color="auto" w:fill="D9D9D9" w:themeFill="background1" w:themeFillShade="D9"/>
          </w:tcPr>
          <w:p w:rsidR="002A13BD" w:rsidRPr="002A13BD" w:rsidRDefault="002A13BD" w:rsidP="00B45E33">
            <w:pPr>
              <w:spacing w:line="360" w:lineRule="auto"/>
              <w:rPr>
                <w:rFonts w:ascii="Arial" w:eastAsia="Calibri" w:hAnsi="Arial" w:cs="Arial"/>
                <w:b/>
                <w:lang w:val="en-GB"/>
              </w:rPr>
            </w:pPr>
            <w:r w:rsidRPr="002A13BD">
              <w:rPr>
                <w:rFonts w:ascii="Arial" w:eastAsia="Calibri" w:hAnsi="Arial" w:cs="Arial"/>
                <w:b/>
                <w:lang w:val="en-GB"/>
              </w:rPr>
              <w:t>(ii)  Since 1 April 2022</w:t>
            </w:r>
          </w:p>
        </w:tc>
      </w:tr>
      <w:tr w:rsidR="002A13BD" w:rsidRPr="0085273F" w:rsidTr="002A13BD">
        <w:tc>
          <w:tcPr>
            <w:tcW w:w="1924" w:type="dxa"/>
          </w:tcPr>
          <w:p w:rsidR="002A13BD" w:rsidRPr="0085273F" w:rsidRDefault="002A13BD" w:rsidP="00B45E33">
            <w:pPr>
              <w:spacing w:line="360" w:lineRule="auto"/>
              <w:rPr>
                <w:rFonts w:ascii="Arial" w:eastAsia="Calibri" w:hAnsi="Arial" w:cs="Arial"/>
                <w:lang w:val="en-GB"/>
              </w:rPr>
            </w:pPr>
            <w:r>
              <w:rPr>
                <w:rFonts w:ascii="Arial" w:eastAsia="Calibri" w:hAnsi="Arial" w:cs="Arial"/>
                <w:lang w:val="en-GB"/>
              </w:rPr>
              <w:t>None</w:t>
            </w:r>
          </w:p>
        </w:tc>
        <w:tc>
          <w:tcPr>
            <w:tcW w:w="1924" w:type="dxa"/>
          </w:tcPr>
          <w:p w:rsidR="002A13BD" w:rsidRPr="0085273F" w:rsidRDefault="002A13BD" w:rsidP="00B45E33">
            <w:pPr>
              <w:spacing w:line="360" w:lineRule="auto"/>
              <w:rPr>
                <w:rFonts w:ascii="Arial" w:eastAsia="Calibri" w:hAnsi="Arial" w:cs="Arial"/>
                <w:lang w:val="en-GB"/>
              </w:rPr>
            </w:pPr>
            <w:r>
              <w:rPr>
                <w:rFonts w:ascii="Arial" w:eastAsia="Calibri" w:hAnsi="Arial" w:cs="Arial"/>
                <w:lang w:val="en-GB"/>
              </w:rPr>
              <w:t>None</w:t>
            </w:r>
          </w:p>
        </w:tc>
        <w:tc>
          <w:tcPr>
            <w:tcW w:w="1925" w:type="dxa"/>
          </w:tcPr>
          <w:p w:rsidR="002A13BD" w:rsidRPr="0085273F" w:rsidRDefault="002A13BD" w:rsidP="00B45E33">
            <w:pPr>
              <w:spacing w:line="360" w:lineRule="auto"/>
              <w:rPr>
                <w:rFonts w:ascii="Arial" w:eastAsia="Calibri" w:hAnsi="Arial" w:cs="Arial"/>
                <w:lang w:val="en-GB"/>
              </w:rPr>
            </w:pPr>
            <w:r>
              <w:rPr>
                <w:rFonts w:ascii="Arial" w:eastAsia="Calibri" w:hAnsi="Arial" w:cs="Arial"/>
                <w:lang w:val="en-GB"/>
              </w:rPr>
              <w:t>None</w:t>
            </w:r>
          </w:p>
        </w:tc>
        <w:tc>
          <w:tcPr>
            <w:tcW w:w="4008" w:type="dxa"/>
          </w:tcPr>
          <w:p w:rsidR="002A13BD" w:rsidRPr="0085273F" w:rsidRDefault="002A13BD" w:rsidP="00B45E33">
            <w:pPr>
              <w:spacing w:line="360" w:lineRule="auto"/>
              <w:rPr>
                <w:rFonts w:ascii="Arial" w:eastAsia="Calibri" w:hAnsi="Arial" w:cs="Arial"/>
                <w:lang w:val="en-GB"/>
              </w:rPr>
            </w:pPr>
            <w:r>
              <w:rPr>
                <w:rFonts w:ascii="Arial" w:eastAsia="Calibri" w:hAnsi="Arial" w:cs="Arial"/>
                <w:lang w:val="en-GB"/>
              </w:rPr>
              <w:t>None</w:t>
            </w:r>
          </w:p>
        </w:tc>
      </w:tr>
    </w:tbl>
    <w:p w:rsidR="00B75ED5" w:rsidRPr="0085273F"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Pr="0085273F" w:rsidRDefault="002A13BD" w:rsidP="00B75ED5">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(b) – (g</w:t>
      </w:r>
      <w:proofErr w:type="gramStart"/>
      <w:r>
        <w:rPr>
          <w:rFonts w:ascii="Arial" w:eastAsia="Calibri" w:hAnsi="Arial" w:cs="Arial"/>
          <w:lang w:val="en-GB"/>
        </w:rPr>
        <w:t>)  Not</w:t>
      </w:r>
      <w:proofErr w:type="gramEnd"/>
      <w:r>
        <w:rPr>
          <w:rFonts w:ascii="Arial" w:eastAsia="Calibri" w:hAnsi="Arial" w:cs="Arial"/>
          <w:lang w:val="en-GB"/>
        </w:rPr>
        <w:t xml:space="preserve"> applicable</w:t>
      </w:r>
    </w:p>
    <w:p w:rsidR="00B75ED5" w:rsidRPr="0085273F" w:rsidRDefault="00B75ED5" w:rsidP="0085273F">
      <w:pPr>
        <w:pStyle w:val="ListParagraph"/>
        <w:pBdr>
          <w:top w:val="nil"/>
          <w:left w:val="nil"/>
          <w:bottom w:val="nil"/>
          <w:right w:val="nil"/>
          <w:between w:val="nil"/>
          <w:bar w:val="nil"/>
        </w:pBdr>
        <w:spacing w:after="0" w:line="360" w:lineRule="auto"/>
        <w:ind w:left="567"/>
        <w:rPr>
          <w:rFonts w:ascii="Arial" w:eastAsia="Calibri" w:hAnsi="Arial" w:cs="Arial"/>
          <w:lang w:val="en-GB"/>
        </w:rPr>
      </w:pPr>
      <w:r w:rsidRPr="0085273F">
        <w:rPr>
          <w:rFonts w:ascii="Arial" w:eastAsia="Calibri" w:hAnsi="Arial" w:cs="Arial"/>
          <w:lang w:val="en-GB"/>
        </w:rPr>
        <w:tab/>
      </w:r>
    </w:p>
    <w:p w:rsidR="00447EC9" w:rsidRPr="0085273F"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447EC9" w:rsidRPr="0085273F"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3614FA" w:rsidRPr="0085273F"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3614FA" w:rsidRPr="0085273F"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2D3423" w:rsidRPr="0085273F"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Pr="0085273F"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85273F"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85273F"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97" w:rsidRDefault="00D93797">
      <w:pPr>
        <w:spacing w:after="0" w:line="240" w:lineRule="auto"/>
      </w:pPr>
      <w:r>
        <w:separator/>
      </w:r>
    </w:p>
  </w:endnote>
  <w:endnote w:type="continuationSeparator" w:id="0">
    <w:p w:rsidR="00D93797" w:rsidRDefault="00D93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9D4A25">
          <w:rPr>
            <w:rFonts w:ascii="Arial Narrow" w:hAnsi="Arial Narrow"/>
            <w:sz w:val="18"/>
            <w:szCs w:val="18"/>
          </w:rPr>
          <w:t>1749</w:t>
        </w:r>
        <w:r w:rsidRPr="00504917">
          <w:rPr>
            <w:rFonts w:ascii="Arial Narrow" w:hAnsi="Arial Narrow"/>
            <w:sz w:val="18"/>
            <w:szCs w:val="18"/>
          </w:rPr>
          <w:t xml:space="preserve"> (NW</w:t>
        </w:r>
        <w:r w:rsidR="009D4A25">
          <w:rPr>
            <w:rFonts w:ascii="Arial Narrow" w:hAnsi="Arial Narrow"/>
            <w:sz w:val="18"/>
            <w:szCs w:val="18"/>
          </w:rPr>
          <w:t>2078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33A12" w:rsidRPr="00013AC6">
          <w:rPr>
            <w:rFonts w:ascii="Arial Narrow" w:hAnsi="Arial Narrow"/>
          </w:rPr>
          <w:fldChar w:fldCharType="begin"/>
        </w:r>
        <w:r w:rsidRPr="00013AC6">
          <w:rPr>
            <w:rFonts w:ascii="Arial Narrow" w:hAnsi="Arial Narrow"/>
          </w:rPr>
          <w:instrText xml:space="preserve"> PAGE   \* MERGEFORMAT </w:instrText>
        </w:r>
        <w:r w:rsidR="00633A12" w:rsidRPr="00013AC6">
          <w:rPr>
            <w:rFonts w:ascii="Arial Narrow" w:hAnsi="Arial Narrow"/>
          </w:rPr>
          <w:fldChar w:fldCharType="separate"/>
        </w:r>
        <w:r w:rsidR="009B7632">
          <w:rPr>
            <w:rFonts w:ascii="Arial Narrow" w:hAnsi="Arial Narrow"/>
            <w:noProof/>
          </w:rPr>
          <w:t>2</w:t>
        </w:r>
        <w:r w:rsidR="00633A1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9379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93797">
    <w:pPr>
      <w:pStyle w:val="Footer1"/>
      <w:jc w:val="right"/>
    </w:pPr>
  </w:p>
  <w:p w:rsidR="001656DE" w:rsidRPr="006016C0" w:rsidRDefault="009D4A25" w:rsidP="006016C0">
    <w:pPr>
      <w:pStyle w:val="HeaderFooter"/>
      <w:jc w:val="center"/>
      <w:rPr>
        <w:rFonts w:ascii="Arial Narrow" w:hAnsi="Arial Narrow"/>
        <w:sz w:val="18"/>
        <w:szCs w:val="18"/>
      </w:rPr>
    </w:pPr>
    <w:r>
      <w:rPr>
        <w:rFonts w:ascii="Arial Narrow" w:hAnsi="Arial Narrow"/>
        <w:sz w:val="18"/>
        <w:szCs w:val="18"/>
      </w:rPr>
      <w:t>1749 (NW2078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97" w:rsidRDefault="00D93797">
      <w:pPr>
        <w:spacing w:after="0" w:line="240" w:lineRule="auto"/>
      </w:pPr>
      <w:r>
        <w:separator/>
      </w:r>
    </w:p>
  </w:footnote>
  <w:footnote w:type="continuationSeparator" w:id="0">
    <w:p w:rsidR="00D93797" w:rsidRDefault="00D93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F57624"/>
    <w:multiLevelType w:val="hybridMultilevel"/>
    <w:tmpl w:val="199A9710"/>
    <w:lvl w:ilvl="0" w:tplc="FFFFFFFF">
      <w:start w:val="5"/>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8">
    <w:nsid w:val="5A315058"/>
    <w:multiLevelType w:val="hybridMultilevel"/>
    <w:tmpl w:val="CEEE116A"/>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5"/>
  </w:num>
  <w:num w:numId="3">
    <w:abstractNumId w:val="22"/>
  </w:num>
  <w:num w:numId="4">
    <w:abstractNumId w:val="12"/>
  </w:num>
  <w:num w:numId="5">
    <w:abstractNumId w:val="15"/>
  </w:num>
  <w:num w:numId="6">
    <w:abstractNumId w:val="8"/>
  </w:num>
  <w:num w:numId="7">
    <w:abstractNumId w:val="17"/>
  </w:num>
  <w:num w:numId="8">
    <w:abstractNumId w:val="9"/>
  </w:num>
  <w:num w:numId="9">
    <w:abstractNumId w:val="13"/>
  </w:num>
  <w:num w:numId="10">
    <w:abstractNumId w:val="21"/>
  </w:num>
  <w:num w:numId="11">
    <w:abstractNumId w:val="3"/>
  </w:num>
  <w:num w:numId="12">
    <w:abstractNumId w:val="23"/>
  </w:num>
  <w:num w:numId="13">
    <w:abstractNumId w:val="6"/>
  </w:num>
  <w:num w:numId="14">
    <w:abstractNumId w:val="0"/>
  </w:num>
  <w:num w:numId="15">
    <w:abstractNumId w:val="14"/>
  </w:num>
  <w:num w:numId="16">
    <w:abstractNumId w:val="2"/>
  </w:num>
  <w:num w:numId="17">
    <w:abstractNumId w:val="10"/>
  </w:num>
  <w:num w:numId="18">
    <w:abstractNumId w:val="1"/>
  </w:num>
  <w:num w:numId="19">
    <w:abstractNumId w:val="4"/>
  </w:num>
  <w:num w:numId="20">
    <w:abstractNumId w:val="7"/>
  </w:num>
  <w:num w:numId="21">
    <w:abstractNumId w:val="19"/>
  </w:num>
  <w:num w:numId="22">
    <w:abstractNumId w:val="18"/>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20831"/>
    <w:rsid w:val="00047D27"/>
    <w:rsid w:val="000547BE"/>
    <w:rsid w:val="00076CE0"/>
    <w:rsid w:val="000857D8"/>
    <w:rsid w:val="00085D32"/>
    <w:rsid w:val="000C3612"/>
    <w:rsid w:val="000D463D"/>
    <w:rsid w:val="000E3E94"/>
    <w:rsid w:val="000F1151"/>
    <w:rsid w:val="000F2AC2"/>
    <w:rsid w:val="000F4913"/>
    <w:rsid w:val="001059FF"/>
    <w:rsid w:val="00141A6F"/>
    <w:rsid w:val="00151D19"/>
    <w:rsid w:val="0016068E"/>
    <w:rsid w:val="00193F9C"/>
    <w:rsid w:val="001B2BE2"/>
    <w:rsid w:val="001C6AAC"/>
    <w:rsid w:val="001C7E21"/>
    <w:rsid w:val="002245E3"/>
    <w:rsid w:val="00291F6E"/>
    <w:rsid w:val="00295018"/>
    <w:rsid w:val="002A13BD"/>
    <w:rsid w:val="002C461C"/>
    <w:rsid w:val="002D3423"/>
    <w:rsid w:val="002E2DC2"/>
    <w:rsid w:val="002F0DE8"/>
    <w:rsid w:val="003032AF"/>
    <w:rsid w:val="0035411E"/>
    <w:rsid w:val="003614FA"/>
    <w:rsid w:val="003B32C2"/>
    <w:rsid w:val="003B3F96"/>
    <w:rsid w:val="003D4147"/>
    <w:rsid w:val="003D7F28"/>
    <w:rsid w:val="003E5364"/>
    <w:rsid w:val="00445C8D"/>
    <w:rsid w:val="00447EC9"/>
    <w:rsid w:val="00490A93"/>
    <w:rsid w:val="004A5358"/>
    <w:rsid w:val="004A72E4"/>
    <w:rsid w:val="004C4166"/>
    <w:rsid w:val="004C7FF1"/>
    <w:rsid w:val="004F2C4A"/>
    <w:rsid w:val="004F54C9"/>
    <w:rsid w:val="00506321"/>
    <w:rsid w:val="00525E74"/>
    <w:rsid w:val="005951FC"/>
    <w:rsid w:val="005E1A1A"/>
    <w:rsid w:val="005F1119"/>
    <w:rsid w:val="006010A3"/>
    <w:rsid w:val="00615126"/>
    <w:rsid w:val="0061799C"/>
    <w:rsid w:val="006335F8"/>
    <w:rsid w:val="00633A12"/>
    <w:rsid w:val="006A6231"/>
    <w:rsid w:val="006B20E2"/>
    <w:rsid w:val="00733F67"/>
    <w:rsid w:val="007345DF"/>
    <w:rsid w:val="00736B41"/>
    <w:rsid w:val="00740EC5"/>
    <w:rsid w:val="00747DE8"/>
    <w:rsid w:val="0075741D"/>
    <w:rsid w:val="00765093"/>
    <w:rsid w:val="00777955"/>
    <w:rsid w:val="007A257C"/>
    <w:rsid w:val="007A288A"/>
    <w:rsid w:val="00807DBA"/>
    <w:rsid w:val="00810D60"/>
    <w:rsid w:val="008137D4"/>
    <w:rsid w:val="0085273F"/>
    <w:rsid w:val="00857718"/>
    <w:rsid w:val="00861CEC"/>
    <w:rsid w:val="00886C58"/>
    <w:rsid w:val="008A1044"/>
    <w:rsid w:val="008A2C68"/>
    <w:rsid w:val="008A536D"/>
    <w:rsid w:val="008C442B"/>
    <w:rsid w:val="0093463C"/>
    <w:rsid w:val="009413A3"/>
    <w:rsid w:val="00950663"/>
    <w:rsid w:val="00977B49"/>
    <w:rsid w:val="009849DC"/>
    <w:rsid w:val="009863F2"/>
    <w:rsid w:val="009945BD"/>
    <w:rsid w:val="009B7632"/>
    <w:rsid w:val="009D4A25"/>
    <w:rsid w:val="00A26AAA"/>
    <w:rsid w:val="00A650CD"/>
    <w:rsid w:val="00A96F2D"/>
    <w:rsid w:val="00AA5F57"/>
    <w:rsid w:val="00AE03FB"/>
    <w:rsid w:val="00B025B0"/>
    <w:rsid w:val="00B221CC"/>
    <w:rsid w:val="00B24E20"/>
    <w:rsid w:val="00B75ED5"/>
    <w:rsid w:val="00B81C09"/>
    <w:rsid w:val="00B9564C"/>
    <w:rsid w:val="00BA0758"/>
    <w:rsid w:val="00BA7422"/>
    <w:rsid w:val="00BB382F"/>
    <w:rsid w:val="00BF2FB4"/>
    <w:rsid w:val="00C03FFF"/>
    <w:rsid w:val="00C4519C"/>
    <w:rsid w:val="00C47346"/>
    <w:rsid w:val="00C809F5"/>
    <w:rsid w:val="00CA7901"/>
    <w:rsid w:val="00CE0094"/>
    <w:rsid w:val="00CE1CD0"/>
    <w:rsid w:val="00CE2A6D"/>
    <w:rsid w:val="00CE3AA3"/>
    <w:rsid w:val="00CE637C"/>
    <w:rsid w:val="00D01957"/>
    <w:rsid w:val="00D319C1"/>
    <w:rsid w:val="00D350AE"/>
    <w:rsid w:val="00D40BDF"/>
    <w:rsid w:val="00D44311"/>
    <w:rsid w:val="00D47B6A"/>
    <w:rsid w:val="00D70A87"/>
    <w:rsid w:val="00D75720"/>
    <w:rsid w:val="00D90E81"/>
    <w:rsid w:val="00D93797"/>
    <w:rsid w:val="00D9442B"/>
    <w:rsid w:val="00D94E04"/>
    <w:rsid w:val="00DA6EE7"/>
    <w:rsid w:val="00DB6BD3"/>
    <w:rsid w:val="00DC1973"/>
    <w:rsid w:val="00DC1D47"/>
    <w:rsid w:val="00DD3F26"/>
    <w:rsid w:val="00DE4655"/>
    <w:rsid w:val="00E03CDF"/>
    <w:rsid w:val="00E176BC"/>
    <w:rsid w:val="00E23119"/>
    <w:rsid w:val="00E57333"/>
    <w:rsid w:val="00E665D2"/>
    <w:rsid w:val="00EF5A52"/>
    <w:rsid w:val="00F30415"/>
    <w:rsid w:val="00F37A82"/>
    <w:rsid w:val="00F51F48"/>
    <w:rsid w:val="00F95301"/>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2022-05-19T07:07:00Z</cp:lastPrinted>
  <dcterms:created xsi:type="dcterms:W3CDTF">2022-06-28T08:37:00Z</dcterms:created>
  <dcterms:modified xsi:type="dcterms:W3CDTF">2022-06-28T08:37:00Z</dcterms:modified>
</cp:coreProperties>
</file>