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0821F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0821FC" w:rsidP="000821F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0821FC" w:rsidP="000821F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170E1">
        <w:rPr>
          <w:rFonts w:ascii="Arial" w:eastAsia="Calibri" w:hAnsi="Arial" w:cs="Arial"/>
          <w:b/>
          <w:bCs/>
          <w:lang w:val="en-GB"/>
        </w:rPr>
        <w:t>1</w:t>
      </w:r>
      <w:r w:rsidR="00F733D9">
        <w:rPr>
          <w:rFonts w:ascii="Arial" w:eastAsia="Calibri" w:hAnsi="Arial" w:cs="Arial"/>
          <w:b/>
          <w:bCs/>
          <w:lang w:val="en-GB"/>
        </w:rPr>
        <w:t>7</w:t>
      </w:r>
      <w:r w:rsidR="006310D8">
        <w:rPr>
          <w:rFonts w:ascii="Arial" w:eastAsia="Calibri" w:hAnsi="Arial" w:cs="Arial"/>
          <w:b/>
          <w:bCs/>
          <w:lang w:val="en-GB"/>
        </w:rPr>
        <w:t>4</w:t>
      </w:r>
      <w:r w:rsidR="00F733D9">
        <w:rPr>
          <w:rFonts w:ascii="Arial" w:eastAsia="Calibri" w:hAnsi="Arial" w:cs="Arial"/>
          <w:b/>
          <w:bCs/>
          <w:lang w:val="en-GB"/>
        </w:rPr>
        <w:t>8</w:t>
      </w:r>
    </w:p>
    <w:p w:rsidR="00130BDB" w:rsidRPr="000821FC" w:rsidRDefault="00130BDB" w:rsidP="000821FC">
      <w:pPr>
        <w:spacing w:after="200" w:line="276" w:lineRule="auto"/>
        <w:rPr>
          <w:rFonts w:ascii="Arial" w:eastAsia="Calibri" w:hAnsi="Arial" w:cs="Arial"/>
          <w:b/>
          <w:bCs/>
          <w:lang w:val="en-GB"/>
        </w:rPr>
      </w:pPr>
      <w:r w:rsidRPr="000821FC">
        <w:rPr>
          <w:rFonts w:ascii="Arial" w:eastAsia="Calibri" w:hAnsi="Arial" w:cs="Arial"/>
          <w:b/>
          <w:bCs/>
          <w:lang w:val="en-GB"/>
        </w:rPr>
        <w:t xml:space="preserve">DATE OF QUESTION: </w:t>
      </w:r>
      <w:r w:rsidR="00A028C7" w:rsidRPr="000821FC">
        <w:rPr>
          <w:rFonts w:ascii="Arial" w:eastAsia="Calibri" w:hAnsi="Arial" w:cs="Arial"/>
          <w:b/>
          <w:bCs/>
          <w:lang w:val="en-GB"/>
        </w:rPr>
        <w:t>04</w:t>
      </w:r>
      <w:r w:rsidR="000821FC" w:rsidRPr="000821FC">
        <w:rPr>
          <w:rFonts w:ascii="Arial" w:eastAsia="Calibri" w:hAnsi="Arial" w:cs="Arial"/>
          <w:b/>
          <w:bCs/>
          <w:lang w:val="en-GB"/>
        </w:rPr>
        <w:t xml:space="preserve"> JUNE </w:t>
      </w:r>
      <w:r w:rsidRPr="000821FC">
        <w:rPr>
          <w:rFonts w:ascii="Arial" w:eastAsia="Calibri" w:hAnsi="Arial" w:cs="Arial"/>
          <w:b/>
          <w:bCs/>
          <w:lang w:val="en-GB"/>
        </w:rPr>
        <w:t>20</w:t>
      </w:r>
      <w:r w:rsidR="003F2E8D" w:rsidRPr="000821FC">
        <w:rPr>
          <w:rFonts w:ascii="Arial" w:eastAsia="Calibri" w:hAnsi="Arial" w:cs="Arial"/>
          <w:b/>
          <w:bCs/>
          <w:lang w:val="en-GB"/>
        </w:rPr>
        <w:t>2</w:t>
      </w:r>
      <w:r w:rsidR="000F7117" w:rsidRPr="000821FC">
        <w:rPr>
          <w:rFonts w:ascii="Arial" w:eastAsia="Calibri" w:hAnsi="Arial" w:cs="Arial"/>
          <w:b/>
          <w:bCs/>
          <w:lang w:val="en-GB"/>
        </w:rPr>
        <w:t>1</w:t>
      </w:r>
    </w:p>
    <w:p w:rsidR="000821FC" w:rsidRPr="000821FC" w:rsidRDefault="000821FC" w:rsidP="000821FC">
      <w:pPr>
        <w:spacing w:after="200" w:line="276" w:lineRule="auto"/>
        <w:rPr>
          <w:rFonts w:ascii="Arial" w:eastAsia="Calibri" w:hAnsi="Arial" w:cs="Arial"/>
          <w:b/>
          <w:bCs/>
          <w:lang w:val="en-GB"/>
        </w:rPr>
      </w:pPr>
      <w:r w:rsidRPr="000821FC">
        <w:rPr>
          <w:rFonts w:ascii="Arial" w:eastAsia="Calibri" w:hAnsi="Arial" w:cs="Arial"/>
          <w:b/>
          <w:bCs/>
          <w:lang w:val="en-GB"/>
        </w:rPr>
        <w:t>DATE OF SUBMISSION: 21 JUNE 2021</w:t>
      </w:r>
    </w:p>
    <w:p w:rsidR="000821FC" w:rsidRDefault="000821FC" w:rsidP="00F733D9">
      <w:pPr>
        <w:spacing w:before="120" w:after="120" w:line="360" w:lineRule="auto"/>
        <w:jc w:val="both"/>
        <w:rPr>
          <w:rFonts w:ascii="Arial" w:hAnsi="Arial" w:cs="Arial"/>
          <w:b/>
          <w:bCs/>
          <w:lang w:val="en-ZA"/>
        </w:rPr>
      </w:pPr>
    </w:p>
    <w:p w:rsidR="00F733D9" w:rsidRPr="00F733D9" w:rsidRDefault="00F733D9" w:rsidP="00F733D9">
      <w:pPr>
        <w:spacing w:before="120" w:after="120" w:line="360" w:lineRule="auto"/>
        <w:jc w:val="both"/>
        <w:rPr>
          <w:rFonts w:ascii="Arial" w:hAnsi="Arial" w:cs="Arial"/>
          <w:b/>
          <w:bCs/>
          <w:lang w:val="en-ZA"/>
        </w:rPr>
      </w:pPr>
      <w:r w:rsidRPr="00F733D9">
        <w:rPr>
          <w:rFonts w:ascii="Arial" w:hAnsi="Arial" w:cs="Arial"/>
          <w:b/>
          <w:bCs/>
          <w:lang w:val="en-ZA"/>
        </w:rPr>
        <w:t>Mrs T P Msane (EFF) to ask the Minister of Justice and Correctional Services</w:t>
      </w:r>
      <w:r w:rsidRPr="00F733D9">
        <w:rPr>
          <w:rFonts w:ascii="Arial" w:hAnsi="Arial" w:cs="Arial"/>
          <w:b/>
          <w:bCs/>
          <w:lang w:val="en-ZA"/>
        </w:rPr>
        <w:fldChar w:fldCharType="begin"/>
      </w:r>
      <w:r w:rsidRPr="00F733D9">
        <w:rPr>
          <w:rFonts w:ascii="Arial" w:hAnsi="Arial" w:cs="Arial"/>
          <w:b/>
          <w:bCs/>
          <w:lang w:val="en-ZA"/>
        </w:rPr>
        <w:instrText xml:space="preserve"> XE "Justice and Correctional Services" </w:instrText>
      </w:r>
      <w:r w:rsidRPr="00F733D9">
        <w:rPr>
          <w:rFonts w:ascii="Arial" w:hAnsi="Arial" w:cs="Arial"/>
          <w:b/>
          <w:bCs/>
          <w:lang w:val="en-ZA"/>
        </w:rPr>
        <w:fldChar w:fldCharType="end"/>
      </w:r>
      <w:r w:rsidRPr="00F733D9">
        <w:rPr>
          <w:rFonts w:ascii="Arial" w:hAnsi="Arial" w:cs="Arial"/>
          <w:b/>
          <w:bCs/>
          <w:lang w:val="en-ZA"/>
        </w:rPr>
        <w:t>:</w:t>
      </w:r>
    </w:p>
    <w:p w:rsidR="00F733D9" w:rsidRDefault="00F733D9" w:rsidP="00F733D9">
      <w:pPr>
        <w:spacing w:before="120" w:after="120" w:line="360" w:lineRule="auto"/>
        <w:jc w:val="both"/>
        <w:rPr>
          <w:rFonts w:ascii="Arial" w:hAnsi="Arial" w:cs="Arial"/>
          <w:lang w:val="en-ZA"/>
        </w:rPr>
      </w:pPr>
      <w:r w:rsidRPr="00F733D9">
        <w:rPr>
          <w:rFonts w:ascii="Arial" w:hAnsi="Arial" w:cs="Arial"/>
          <w:lang w:val="en-ZA"/>
        </w:rPr>
        <w:t>In light of the fact that many Magistrates Courts in the Republic postpone cases due to the lack of interpretation services, which is a disadvantage to many South Africans, especially black persons, what (a) total number of cases are postponed daily in the courts due to the lack of interpretation services and (b) are the reasons that his department</w:t>
      </w:r>
      <w:r>
        <w:rPr>
          <w:rFonts w:ascii="Arial" w:hAnsi="Arial" w:cs="Arial"/>
          <w:lang w:val="en-ZA"/>
        </w:rPr>
        <w:t xml:space="preserve"> is not hiring interpreters?</w:t>
      </w:r>
    </w:p>
    <w:p w:rsidR="00F733D9" w:rsidRDefault="00F733D9" w:rsidP="00F733D9">
      <w:pPr>
        <w:spacing w:before="120" w:after="120" w:line="360" w:lineRule="auto"/>
        <w:ind w:left="360"/>
        <w:jc w:val="right"/>
        <w:rPr>
          <w:rFonts w:ascii="Arial" w:hAnsi="Arial" w:cs="Arial"/>
          <w:b/>
          <w:lang w:val="en-ZA"/>
        </w:rPr>
      </w:pPr>
      <w:r w:rsidRPr="00F733D9">
        <w:rPr>
          <w:rFonts w:ascii="Arial" w:hAnsi="Arial" w:cs="Arial"/>
          <w:b/>
          <w:lang w:val="en-ZA"/>
        </w:rPr>
        <w:t>NW1959E</w:t>
      </w:r>
    </w:p>
    <w:p w:rsidR="00B74F5B" w:rsidRPr="00F733D9" w:rsidRDefault="00B74F5B" w:rsidP="00F733D9">
      <w:pPr>
        <w:spacing w:before="120" w:after="120" w:line="360" w:lineRule="auto"/>
        <w:ind w:left="360"/>
        <w:jc w:val="right"/>
        <w:rPr>
          <w:rFonts w:ascii="Arial" w:hAnsi="Arial" w:cs="Arial"/>
          <w:b/>
          <w:lang w:val="en-ZA"/>
        </w:rPr>
      </w:pPr>
    </w:p>
    <w:p w:rsidR="00983C6B" w:rsidRDefault="00B74F5B" w:rsidP="00542F7B">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B74F5B" w:rsidRDefault="00B74F5B" w:rsidP="00542F7B">
      <w:pPr>
        <w:spacing w:line="360" w:lineRule="auto"/>
        <w:rPr>
          <w:rFonts w:ascii="Arial" w:hAnsi="Arial" w:cs="Arial"/>
          <w:b/>
        </w:rPr>
      </w:pPr>
    </w:p>
    <w:p w:rsidR="006A4013" w:rsidRDefault="006A4013" w:rsidP="009204DE">
      <w:pPr>
        <w:numPr>
          <w:ilvl w:val="0"/>
          <w:numId w:val="4"/>
        </w:numPr>
        <w:spacing w:line="360" w:lineRule="auto"/>
        <w:rPr>
          <w:rFonts w:ascii="Arial" w:hAnsi="Arial" w:cs="Arial"/>
        </w:rPr>
      </w:pPr>
      <w:r w:rsidRPr="006A4013">
        <w:rPr>
          <w:rFonts w:ascii="Arial" w:hAnsi="Arial" w:cs="Arial"/>
        </w:rPr>
        <w:t xml:space="preserve">As part of monitoring of administrative support to the courts the Department </w:t>
      </w:r>
      <w:r w:rsidR="009E540F">
        <w:rPr>
          <w:rFonts w:ascii="Arial" w:hAnsi="Arial" w:cs="Arial"/>
        </w:rPr>
        <w:t xml:space="preserve">of Justice and Constitutional Development (DoJ&amp;CD) </w:t>
      </w:r>
      <w:r>
        <w:rPr>
          <w:rFonts w:ascii="Arial" w:hAnsi="Arial" w:cs="Arial"/>
        </w:rPr>
        <w:t>has included a Key performance indicator on the Annual Performance Pl</w:t>
      </w:r>
      <w:r w:rsidR="009E540F">
        <w:rPr>
          <w:rFonts w:ascii="Arial" w:hAnsi="Arial" w:cs="Arial"/>
        </w:rPr>
        <w:t xml:space="preserve">an which is monitored monthly. </w:t>
      </w:r>
      <w:r>
        <w:rPr>
          <w:rFonts w:ascii="Arial" w:hAnsi="Arial" w:cs="Arial"/>
        </w:rPr>
        <w:t>The Department has set a target that in less than 0.3 % in criminal cases the main cause of postponement of the case should relate to the unavailability of court administrative officials essential to a court sitting relating to Indigenous language as well as Foreign language interpreters as well as court recording system operators.</w:t>
      </w:r>
    </w:p>
    <w:p w:rsidR="00B74F5B" w:rsidRDefault="00B74F5B" w:rsidP="00B74F5B">
      <w:pPr>
        <w:spacing w:line="360" w:lineRule="auto"/>
        <w:ind w:left="360"/>
        <w:rPr>
          <w:rFonts w:ascii="Arial" w:hAnsi="Arial" w:cs="Arial"/>
        </w:rPr>
      </w:pPr>
    </w:p>
    <w:p w:rsidR="006A4013" w:rsidRDefault="006A4013" w:rsidP="00B74F5B">
      <w:pPr>
        <w:spacing w:line="360" w:lineRule="auto"/>
        <w:ind w:left="360"/>
        <w:rPr>
          <w:rFonts w:ascii="Arial" w:hAnsi="Arial" w:cs="Arial"/>
        </w:rPr>
      </w:pPr>
      <w:r>
        <w:rPr>
          <w:rFonts w:ascii="Arial" w:hAnsi="Arial" w:cs="Arial"/>
        </w:rPr>
        <w:t xml:space="preserve">The performance in relation to this indicator for the period 1 April - 30 April 2021 is a National average of 0.14% against the 0.3% target. </w:t>
      </w:r>
    </w:p>
    <w:p w:rsidR="00B74F5B" w:rsidRDefault="00B74F5B" w:rsidP="00B74F5B">
      <w:pPr>
        <w:spacing w:line="360" w:lineRule="auto"/>
        <w:ind w:firstLine="360"/>
        <w:rPr>
          <w:rFonts w:ascii="Arial" w:hAnsi="Arial" w:cs="Arial"/>
        </w:rPr>
        <w:sectPr w:rsidR="00B74F5B" w:rsidSect="00B74F5B">
          <w:footerReference w:type="default" r:id="rId7"/>
          <w:pgSz w:w="12240" w:h="15840"/>
          <w:pgMar w:top="1440" w:right="1440" w:bottom="1440" w:left="1440" w:header="720" w:footer="720" w:gutter="0"/>
          <w:cols w:space="720"/>
          <w:docGrid w:linePitch="360"/>
        </w:sectPr>
      </w:pPr>
    </w:p>
    <w:p w:rsidR="006A4013" w:rsidRDefault="006A4013" w:rsidP="009037BE">
      <w:pPr>
        <w:spacing w:line="360" w:lineRule="auto"/>
        <w:rPr>
          <w:rFonts w:ascii="Arial" w:hAnsi="Arial" w:cs="Arial"/>
        </w:rPr>
      </w:pPr>
      <w:r>
        <w:rPr>
          <w:rFonts w:ascii="Arial" w:hAnsi="Arial" w:cs="Arial"/>
        </w:rPr>
        <w:lastRenderedPageBreak/>
        <w:t>See breakdown into regions and District and reg</w:t>
      </w:r>
      <w:r w:rsidR="009037BE">
        <w:rPr>
          <w:rFonts w:ascii="Arial" w:hAnsi="Arial" w:cs="Arial"/>
        </w:rPr>
        <w:t>ional courts as per table below:</w:t>
      </w:r>
      <w:r>
        <w:rPr>
          <w:rFonts w:ascii="Arial" w:hAnsi="Arial" w:cs="Arial"/>
        </w:rPr>
        <w:t xml:space="preserve"> </w:t>
      </w:r>
    </w:p>
    <w:p w:rsidR="006A4013" w:rsidRDefault="004D21AC" w:rsidP="00542F7B">
      <w:pPr>
        <w:spacing w:line="360" w:lineRule="auto"/>
      </w:pPr>
      <w:r>
        <w:rPr>
          <w:noProof/>
          <w:lang w:val="en-ZA" w:eastAsia="en-ZA"/>
        </w:rPr>
        <w:drawing>
          <wp:inline distT="0" distB="0" distL="0" distR="0">
            <wp:extent cx="7734300" cy="433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34300" cy="4333875"/>
                    </a:xfrm>
                    <a:prstGeom prst="rect">
                      <a:avLst/>
                    </a:prstGeom>
                    <a:noFill/>
                    <a:ln w="9525">
                      <a:noFill/>
                      <a:miter lim="800000"/>
                      <a:headEnd/>
                      <a:tailEnd/>
                    </a:ln>
                  </pic:spPr>
                </pic:pic>
              </a:graphicData>
            </a:graphic>
          </wp:inline>
        </w:drawing>
      </w:r>
    </w:p>
    <w:p w:rsidR="009E540F" w:rsidRDefault="009E540F" w:rsidP="00542F7B">
      <w:pPr>
        <w:spacing w:line="360" w:lineRule="auto"/>
        <w:sectPr w:rsidR="009E540F" w:rsidSect="00B74F5B">
          <w:pgSz w:w="15840" w:h="12240" w:orient="landscape"/>
          <w:pgMar w:top="1440" w:right="1440" w:bottom="1440" w:left="1440" w:header="720" w:footer="720" w:gutter="0"/>
          <w:cols w:space="720"/>
          <w:docGrid w:linePitch="360"/>
        </w:sectPr>
      </w:pPr>
    </w:p>
    <w:p w:rsidR="009E540F" w:rsidRDefault="009E540F" w:rsidP="006A4013">
      <w:pPr>
        <w:numPr>
          <w:ilvl w:val="0"/>
          <w:numId w:val="4"/>
        </w:numPr>
        <w:spacing w:line="360" w:lineRule="auto"/>
        <w:rPr>
          <w:rFonts w:ascii="Arial" w:hAnsi="Arial" w:cs="Arial"/>
        </w:rPr>
      </w:pPr>
      <w:r>
        <w:rPr>
          <w:rFonts w:ascii="Arial" w:hAnsi="Arial" w:cs="Arial"/>
        </w:rPr>
        <w:lastRenderedPageBreak/>
        <w:t>The Department is appointing interpreters as and when positions become vacant. The Regional Heads have delegations to advertise and fill the vacancies where required. Currently, the Department has a vacancy rate of 7.7%. The table below depicts the number of positions on the establishment, number of posts filled as well as the number of vacant positions: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701"/>
        <w:gridCol w:w="1843"/>
        <w:gridCol w:w="1516"/>
        <w:gridCol w:w="1856"/>
      </w:tblGrid>
      <w:tr w:rsidR="009E540F" w:rsidRPr="00CD457C" w:rsidTr="00CD457C">
        <w:tc>
          <w:tcPr>
            <w:tcW w:w="2126" w:type="dxa"/>
            <w:shd w:val="clear" w:color="auto" w:fill="auto"/>
          </w:tcPr>
          <w:p w:rsidR="009E540F" w:rsidRPr="00CD457C" w:rsidRDefault="009E540F" w:rsidP="00CD457C">
            <w:pPr>
              <w:spacing w:line="360" w:lineRule="auto"/>
              <w:rPr>
                <w:rFonts w:ascii="Arial" w:hAnsi="Arial" w:cs="Arial"/>
                <w:b/>
              </w:rPr>
            </w:pPr>
            <w:r w:rsidRPr="00CD457C">
              <w:rPr>
                <w:rFonts w:ascii="Arial" w:hAnsi="Arial" w:cs="Arial"/>
              </w:rPr>
              <w:t xml:space="preserve"> </w:t>
            </w:r>
            <w:r w:rsidRPr="00CD457C">
              <w:rPr>
                <w:rFonts w:ascii="Arial" w:hAnsi="Arial" w:cs="Arial"/>
                <w:b/>
              </w:rPr>
              <w:t>Job Title</w:t>
            </w:r>
          </w:p>
        </w:tc>
        <w:tc>
          <w:tcPr>
            <w:tcW w:w="1701" w:type="dxa"/>
            <w:shd w:val="clear" w:color="auto" w:fill="auto"/>
          </w:tcPr>
          <w:p w:rsidR="009E540F" w:rsidRPr="00CD457C" w:rsidRDefault="009E540F" w:rsidP="00CD457C">
            <w:pPr>
              <w:spacing w:line="360" w:lineRule="auto"/>
              <w:rPr>
                <w:rFonts w:ascii="Arial" w:hAnsi="Arial" w:cs="Arial"/>
                <w:b/>
              </w:rPr>
            </w:pPr>
            <w:r w:rsidRPr="00CD457C">
              <w:rPr>
                <w:rFonts w:ascii="Arial" w:hAnsi="Arial" w:cs="Arial"/>
                <w:b/>
              </w:rPr>
              <w:t>Filled Posts</w:t>
            </w:r>
          </w:p>
        </w:tc>
        <w:tc>
          <w:tcPr>
            <w:tcW w:w="1843" w:type="dxa"/>
            <w:shd w:val="clear" w:color="auto" w:fill="auto"/>
          </w:tcPr>
          <w:p w:rsidR="009E540F" w:rsidRPr="00CD457C" w:rsidRDefault="009E540F" w:rsidP="00CD457C">
            <w:pPr>
              <w:spacing w:line="360" w:lineRule="auto"/>
              <w:rPr>
                <w:rFonts w:ascii="Arial" w:hAnsi="Arial" w:cs="Arial"/>
                <w:b/>
              </w:rPr>
            </w:pPr>
            <w:r w:rsidRPr="00CD457C">
              <w:rPr>
                <w:rFonts w:ascii="Arial" w:hAnsi="Arial" w:cs="Arial"/>
                <w:b/>
              </w:rPr>
              <w:t>Vacant Posts</w:t>
            </w:r>
          </w:p>
        </w:tc>
        <w:tc>
          <w:tcPr>
            <w:tcW w:w="1516" w:type="dxa"/>
            <w:shd w:val="clear" w:color="auto" w:fill="auto"/>
          </w:tcPr>
          <w:p w:rsidR="009E540F" w:rsidRPr="00CD457C" w:rsidRDefault="009E540F" w:rsidP="00CD457C">
            <w:pPr>
              <w:spacing w:line="360" w:lineRule="auto"/>
              <w:rPr>
                <w:rFonts w:ascii="Arial" w:hAnsi="Arial" w:cs="Arial"/>
                <w:b/>
              </w:rPr>
            </w:pPr>
            <w:r w:rsidRPr="00CD457C">
              <w:rPr>
                <w:rFonts w:ascii="Arial" w:hAnsi="Arial" w:cs="Arial"/>
                <w:b/>
              </w:rPr>
              <w:t>Total Posts</w:t>
            </w:r>
          </w:p>
        </w:tc>
        <w:tc>
          <w:tcPr>
            <w:tcW w:w="1856" w:type="dxa"/>
            <w:shd w:val="clear" w:color="auto" w:fill="auto"/>
          </w:tcPr>
          <w:p w:rsidR="009E540F" w:rsidRPr="00CD457C" w:rsidRDefault="009E540F" w:rsidP="00CD457C">
            <w:pPr>
              <w:spacing w:line="360" w:lineRule="auto"/>
              <w:rPr>
                <w:rFonts w:ascii="Arial" w:hAnsi="Arial" w:cs="Arial"/>
                <w:b/>
              </w:rPr>
            </w:pPr>
            <w:r w:rsidRPr="00CD457C">
              <w:rPr>
                <w:rFonts w:ascii="Arial" w:hAnsi="Arial" w:cs="Arial"/>
                <w:b/>
              </w:rPr>
              <w:t>Vacancy Rate</w:t>
            </w:r>
          </w:p>
        </w:tc>
      </w:tr>
      <w:tr w:rsidR="009E540F" w:rsidRPr="00CD457C" w:rsidTr="00CD457C">
        <w:tc>
          <w:tcPr>
            <w:tcW w:w="2126" w:type="dxa"/>
            <w:shd w:val="clear" w:color="auto" w:fill="auto"/>
          </w:tcPr>
          <w:p w:rsidR="009E540F" w:rsidRPr="00CD457C" w:rsidRDefault="009E540F" w:rsidP="00CD457C">
            <w:pPr>
              <w:spacing w:line="360" w:lineRule="auto"/>
              <w:rPr>
                <w:rFonts w:ascii="Arial" w:hAnsi="Arial" w:cs="Arial"/>
              </w:rPr>
            </w:pPr>
            <w:r w:rsidRPr="00CD457C">
              <w:rPr>
                <w:rFonts w:ascii="Arial" w:hAnsi="Arial" w:cs="Arial"/>
              </w:rPr>
              <w:t>Court Interpreter</w:t>
            </w:r>
          </w:p>
        </w:tc>
        <w:tc>
          <w:tcPr>
            <w:tcW w:w="1701"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1 262</w:t>
            </w:r>
          </w:p>
        </w:tc>
        <w:tc>
          <w:tcPr>
            <w:tcW w:w="1843"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88</w:t>
            </w:r>
          </w:p>
        </w:tc>
        <w:tc>
          <w:tcPr>
            <w:tcW w:w="151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1 350</w:t>
            </w:r>
          </w:p>
        </w:tc>
        <w:tc>
          <w:tcPr>
            <w:tcW w:w="185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6.5</w:t>
            </w:r>
          </w:p>
        </w:tc>
      </w:tr>
      <w:tr w:rsidR="009E540F" w:rsidRPr="00CD457C" w:rsidTr="00CD457C">
        <w:tc>
          <w:tcPr>
            <w:tcW w:w="2126" w:type="dxa"/>
            <w:shd w:val="clear" w:color="auto" w:fill="auto"/>
          </w:tcPr>
          <w:p w:rsidR="009E540F" w:rsidRPr="00CD457C" w:rsidRDefault="009E540F" w:rsidP="00CD457C">
            <w:pPr>
              <w:spacing w:line="360" w:lineRule="auto"/>
              <w:rPr>
                <w:rFonts w:ascii="Arial" w:hAnsi="Arial" w:cs="Arial"/>
              </w:rPr>
            </w:pPr>
            <w:r w:rsidRPr="00CD457C">
              <w:rPr>
                <w:rFonts w:ascii="Arial" w:hAnsi="Arial" w:cs="Arial"/>
              </w:rPr>
              <w:t>Senior Court Interpreter</w:t>
            </w:r>
          </w:p>
        </w:tc>
        <w:tc>
          <w:tcPr>
            <w:tcW w:w="1701"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396</w:t>
            </w:r>
          </w:p>
        </w:tc>
        <w:tc>
          <w:tcPr>
            <w:tcW w:w="1843"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49</w:t>
            </w:r>
          </w:p>
        </w:tc>
        <w:tc>
          <w:tcPr>
            <w:tcW w:w="151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445</w:t>
            </w:r>
          </w:p>
        </w:tc>
        <w:tc>
          <w:tcPr>
            <w:tcW w:w="185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11.0</w:t>
            </w:r>
          </w:p>
        </w:tc>
      </w:tr>
      <w:tr w:rsidR="009E540F" w:rsidRPr="00CD457C" w:rsidTr="00CD457C">
        <w:tc>
          <w:tcPr>
            <w:tcW w:w="2126" w:type="dxa"/>
            <w:shd w:val="clear" w:color="auto" w:fill="auto"/>
          </w:tcPr>
          <w:p w:rsidR="009E540F" w:rsidRPr="00CD457C" w:rsidRDefault="009E540F" w:rsidP="00CD457C">
            <w:pPr>
              <w:spacing w:line="360" w:lineRule="auto"/>
              <w:rPr>
                <w:rFonts w:ascii="Arial" w:hAnsi="Arial" w:cs="Arial"/>
              </w:rPr>
            </w:pPr>
            <w:r w:rsidRPr="00CD457C">
              <w:rPr>
                <w:rFonts w:ascii="Arial" w:hAnsi="Arial" w:cs="Arial"/>
              </w:rPr>
              <w:t>Court Interpreter Principal</w:t>
            </w:r>
          </w:p>
        </w:tc>
        <w:tc>
          <w:tcPr>
            <w:tcW w:w="1701"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63</w:t>
            </w:r>
          </w:p>
        </w:tc>
        <w:tc>
          <w:tcPr>
            <w:tcW w:w="1843"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8</w:t>
            </w:r>
          </w:p>
        </w:tc>
        <w:tc>
          <w:tcPr>
            <w:tcW w:w="151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71</w:t>
            </w:r>
          </w:p>
        </w:tc>
        <w:tc>
          <w:tcPr>
            <w:tcW w:w="185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11.3</w:t>
            </w:r>
          </w:p>
        </w:tc>
      </w:tr>
      <w:tr w:rsidR="009E540F" w:rsidRPr="00CD457C" w:rsidTr="00CD457C">
        <w:tc>
          <w:tcPr>
            <w:tcW w:w="2126" w:type="dxa"/>
            <w:shd w:val="clear" w:color="auto" w:fill="auto"/>
          </w:tcPr>
          <w:p w:rsidR="009E540F" w:rsidRPr="00CD457C" w:rsidRDefault="009E540F" w:rsidP="00CD457C">
            <w:pPr>
              <w:spacing w:line="360" w:lineRule="auto"/>
              <w:rPr>
                <w:rFonts w:ascii="Arial" w:hAnsi="Arial" w:cs="Arial"/>
              </w:rPr>
            </w:pPr>
            <w:r w:rsidRPr="00CD457C">
              <w:rPr>
                <w:rFonts w:ascii="Arial" w:hAnsi="Arial" w:cs="Arial"/>
              </w:rPr>
              <w:t>Assistant Director: Court Interpreting</w:t>
            </w:r>
          </w:p>
        </w:tc>
        <w:tc>
          <w:tcPr>
            <w:tcW w:w="1701"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32</w:t>
            </w:r>
          </w:p>
        </w:tc>
        <w:tc>
          <w:tcPr>
            <w:tcW w:w="1843"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1</w:t>
            </w:r>
          </w:p>
        </w:tc>
        <w:tc>
          <w:tcPr>
            <w:tcW w:w="151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33</w:t>
            </w:r>
          </w:p>
        </w:tc>
        <w:tc>
          <w:tcPr>
            <w:tcW w:w="185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3.0</w:t>
            </w:r>
          </w:p>
        </w:tc>
      </w:tr>
      <w:tr w:rsidR="009E540F" w:rsidRPr="00CD457C" w:rsidTr="00CD457C">
        <w:tc>
          <w:tcPr>
            <w:tcW w:w="2126" w:type="dxa"/>
            <w:shd w:val="clear" w:color="auto" w:fill="auto"/>
          </w:tcPr>
          <w:p w:rsidR="009E540F" w:rsidRPr="00CD457C" w:rsidRDefault="009E540F" w:rsidP="00CD457C">
            <w:pPr>
              <w:spacing w:line="360" w:lineRule="auto"/>
              <w:rPr>
                <w:rFonts w:ascii="Arial" w:hAnsi="Arial" w:cs="Arial"/>
              </w:rPr>
            </w:pPr>
            <w:r w:rsidRPr="00CD457C">
              <w:rPr>
                <w:rFonts w:ascii="Arial" w:hAnsi="Arial" w:cs="Arial"/>
              </w:rPr>
              <w:t>Deputy Director: Court Interpreting</w:t>
            </w:r>
          </w:p>
        </w:tc>
        <w:tc>
          <w:tcPr>
            <w:tcW w:w="1701"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6</w:t>
            </w:r>
          </w:p>
        </w:tc>
        <w:tc>
          <w:tcPr>
            <w:tcW w:w="1843"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1</w:t>
            </w:r>
          </w:p>
        </w:tc>
        <w:tc>
          <w:tcPr>
            <w:tcW w:w="151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7</w:t>
            </w:r>
          </w:p>
        </w:tc>
        <w:tc>
          <w:tcPr>
            <w:tcW w:w="1856" w:type="dxa"/>
            <w:shd w:val="clear" w:color="auto" w:fill="auto"/>
            <w:vAlign w:val="center"/>
          </w:tcPr>
          <w:p w:rsidR="009E540F" w:rsidRPr="00CD457C" w:rsidRDefault="009E540F" w:rsidP="00CD457C">
            <w:pPr>
              <w:spacing w:line="360" w:lineRule="auto"/>
              <w:jc w:val="center"/>
              <w:rPr>
                <w:rFonts w:ascii="Arial" w:hAnsi="Arial" w:cs="Arial"/>
              </w:rPr>
            </w:pPr>
            <w:r w:rsidRPr="00CD457C">
              <w:rPr>
                <w:rFonts w:ascii="Arial" w:hAnsi="Arial" w:cs="Arial"/>
              </w:rPr>
              <w:t>14.3</w:t>
            </w:r>
          </w:p>
        </w:tc>
      </w:tr>
      <w:tr w:rsidR="009E540F" w:rsidRPr="00CD457C" w:rsidTr="00CD457C">
        <w:tc>
          <w:tcPr>
            <w:tcW w:w="2126" w:type="dxa"/>
            <w:shd w:val="clear" w:color="auto" w:fill="auto"/>
            <w:vAlign w:val="center"/>
          </w:tcPr>
          <w:p w:rsidR="009E540F" w:rsidRPr="00CD457C" w:rsidRDefault="009E540F" w:rsidP="00CD457C">
            <w:pPr>
              <w:spacing w:line="360" w:lineRule="auto"/>
              <w:jc w:val="center"/>
              <w:rPr>
                <w:rFonts w:ascii="Arial" w:hAnsi="Arial" w:cs="Arial"/>
                <w:b/>
              </w:rPr>
            </w:pPr>
            <w:r w:rsidRPr="00CD457C">
              <w:rPr>
                <w:rFonts w:ascii="Arial" w:hAnsi="Arial" w:cs="Arial"/>
                <w:b/>
              </w:rPr>
              <w:t>TOTAL</w:t>
            </w:r>
          </w:p>
        </w:tc>
        <w:tc>
          <w:tcPr>
            <w:tcW w:w="1701" w:type="dxa"/>
            <w:shd w:val="clear" w:color="auto" w:fill="auto"/>
            <w:vAlign w:val="center"/>
          </w:tcPr>
          <w:p w:rsidR="009E540F" w:rsidRPr="00CD457C" w:rsidRDefault="009E540F" w:rsidP="00CD457C">
            <w:pPr>
              <w:spacing w:line="360" w:lineRule="auto"/>
              <w:jc w:val="center"/>
              <w:rPr>
                <w:rFonts w:ascii="Arial" w:hAnsi="Arial" w:cs="Arial"/>
                <w:b/>
              </w:rPr>
            </w:pPr>
            <w:r w:rsidRPr="00CD457C">
              <w:rPr>
                <w:rFonts w:ascii="Arial" w:hAnsi="Arial" w:cs="Arial"/>
                <w:b/>
              </w:rPr>
              <w:t>1 759</w:t>
            </w:r>
          </w:p>
        </w:tc>
        <w:tc>
          <w:tcPr>
            <w:tcW w:w="1843" w:type="dxa"/>
            <w:shd w:val="clear" w:color="auto" w:fill="auto"/>
            <w:vAlign w:val="center"/>
          </w:tcPr>
          <w:p w:rsidR="009E540F" w:rsidRPr="00CD457C" w:rsidRDefault="009E540F" w:rsidP="00CD457C">
            <w:pPr>
              <w:spacing w:line="360" w:lineRule="auto"/>
              <w:jc w:val="center"/>
              <w:rPr>
                <w:rFonts w:ascii="Arial" w:hAnsi="Arial" w:cs="Arial"/>
                <w:b/>
              </w:rPr>
            </w:pPr>
            <w:r w:rsidRPr="00CD457C">
              <w:rPr>
                <w:rFonts w:ascii="Arial" w:hAnsi="Arial" w:cs="Arial"/>
                <w:b/>
              </w:rPr>
              <w:t>147</w:t>
            </w:r>
          </w:p>
        </w:tc>
        <w:tc>
          <w:tcPr>
            <w:tcW w:w="1516" w:type="dxa"/>
            <w:shd w:val="clear" w:color="auto" w:fill="auto"/>
            <w:vAlign w:val="center"/>
          </w:tcPr>
          <w:p w:rsidR="009E540F" w:rsidRPr="00CD457C" w:rsidRDefault="009E540F" w:rsidP="00CD457C">
            <w:pPr>
              <w:spacing w:line="360" w:lineRule="auto"/>
              <w:jc w:val="center"/>
              <w:rPr>
                <w:rFonts w:ascii="Arial" w:hAnsi="Arial" w:cs="Arial"/>
                <w:b/>
              </w:rPr>
            </w:pPr>
            <w:r w:rsidRPr="00CD457C">
              <w:rPr>
                <w:rFonts w:ascii="Arial" w:hAnsi="Arial" w:cs="Arial"/>
                <w:b/>
              </w:rPr>
              <w:t>1 906</w:t>
            </w:r>
          </w:p>
        </w:tc>
        <w:tc>
          <w:tcPr>
            <w:tcW w:w="1856" w:type="dxa"/>
            <w:shd w:val="clear" w:color="auto" w:fill="auto"/>
            <w:vAlign w:val="center"/>
          </w:tcPr>
          <w:p w:rsidR="009E540F" w:rsidRPr="00CD457C" w:rsidRDefault="009E540F" w:rsidP="00CD457C">
            <w:pPr>
              <w:spacing w:line="360" w:lineRule="auto"/>
              <w:jc w:val="center"/>
              <w:rPr>
                <w:rFonts w:ascii="Arial" w:hAnsi="Arial" w:cs="Arial"/>
                <w:b/>
              </w:rPr>
            </w:pPr>
            <w:r w:rsidRPr="00CD457C">
              <w:rPr>
                <w:rFonts w:ascii="Arial" w:hAnsi="Arial" w:cs="Arial"/>
                <w:b/>
              </w:rPr>
              <w:t>7.7</w:t>
            </w:r>
          </w:p>
        </w:tc>
      </w:tr>
    </w:tbl>
    <w:p w:rsidR="009E540F" w:rsidRDefault="009E540F" w:rsidP="009E540F">
      <w:pPr>
        <w:spacing w:line="360" w:lineRule="auto"/>
        <w:rPr>
          <w:rFonts w:ascii="Arial" w:hAnsi="Arial" w:cs="Arial"/>
        </w:rPr>
      </w:pPr>
    </w:p>
    <w:p w:rsidR="009E540F" w:rsidRPr="009E540F" w:rsidRDefault="009E540F" w:rsidP="00591D25">
      <w:pPr>
        <w:spacing w:line="360" w:lineRule="auto"/>
        <w:ind w:left="360"/>
        <w:rPr>
          <w:rFonts w:ascii="Arial" w:hAnsi="Arial" w:cs="Arial"/>
        </w:rPr>
      </w:pPr>
      <w:r>
        <w:rPr>
          <w:rFonts w:ascii="Arial" w:hAnsi="Arial" w:cs="Arial"/>
        </w:rPr>
        <w:t>In relation to Foreign Language Interpreters and Sign Language Interpreters, they are sourced from the database as and when they are required, paid a daily allowance for appearance in court.</w:t>
      </w:r>
    </w:p>
    <w:sectPr w:rsidR="009E540F" w:rsidRPr="009E540F" w:rsidSect="009E54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18" w:rsidRDefault="00513E18" w:rsidP="00913892">
      <w:r>
        <w:separator/>
      </w:r>
    </w:p>
  </w:endnote>
  <w:endnote w:type="continuationSeparator" w:id="0">
    <w:p w:rsidR="00513E18" w:rsidRDefault="00513E1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D21AC" w:rsidRPr="004D21A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18" w:rsidRDefault="00513E18" w:rsidP="00913892">
      <w:r>
        <w:separator/>
      </w:r>
    </w:p>
  </w:footnote>
  <w:footnote w:type="continuationSeparator" w:id="0">
    <w:p w:rsidR="00513E18" w:rsidRDefault="00513E1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D0D064E"/>
    <w:multiLevelType w:val="hybridMultilevel"/>
    <w:tmpl w:val="B02E6268"/>
    <w:lvl w:ilvl="0" w:tplc="284AEEA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1325"/>
    <w:rsid w:val="00026EC0"/>
    <w:rsid w:val="00030927"/>
    <w:rsid w:val="0004105D"/>
    <w:rsid w:val="0004190C"/>
    <w:rsid w:val="00046588"/>
    <w:rsid w:val="0005194E"/>
    <w:rsid w:val="00052CE2"/>
    <w:rsid w:val="000577FE"/>
    <w:rsid w:val="00070401"/>
    <w:rsid w:val="0007147A"/>
    <w:rsid w:val="00072E1B"/>
    <w:rsid w:val="0007655F"/>
    <w:rsid w:val="00080B73"/>
    <w:rsid w:val="000821FC"/>
    <w:rsid w:val="000A3DA5"/>
    <w:rsid w:val="000A4BF0"/>
    <w:rsid w:val="000B5E45"/>
    <w:rsid w:val="000C01D4"/>
    <w:rsid w:val="000D4F57"/>
    <w:rsid w:val="000D5604"/>
    <w:rsid w:val="000E6772"/>
    <w:rsid w:val="000E7085"/>
    <w:rsid w:val="000E76BA"/>
    <w:rsid w:val="000F24EB"/>
    <w:rsid w:val="000F7117"/>
    <w:rsid w:val="00105174"/>
    <w:rsid w:val="00110B8F"/>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60345"/>
    <w:rsid w:val="00262ACE"/>
    <w:rsid w:val="002764C9"/>
    <w:rsid w:val="00281574"/>
    <w:rsid w:val="002857B6"/>
    <w:rsid w:val="00286311"/>
    <w:rsid w:val="00291065"/>
    <w:rsid w:val="002A0DB1"/>
    <w:rsid w:val="002A2B47"/>
    <w:rsid w:val="002B2B31"/>
    <w:rsid w:val="002B6D18"/>
    <w:rsid w:val="002C719B"/>
    <w:rsid w:val="002D5BF7"/>
    <w:rsid w:val="002D7BBD"/>
    <w:rsid w:val="002E16F9"/>
    <w:rsid w:val="002E7253"/>
    <w:rsid w:val="002F22DD"/>
    <w:rsid w:val="0031652F"/>
    <w:rsid w:val="00322BA4"/>
    <w:rsid w:val="003401CA"/>
    <w:rsid w:val="00346942"/>
    <w:rsid w:val="0037187E"/>
    <w:rsid w:val="00376622"/>
    <w:rsid w:val="003767D7"/>
    <w:rsid w:val="003771A4"/>
    <w:rsid w:val="00381B64"/>
    <w:rsid w:val="00383858"/>
    <w:rsid w:val="00386CA6"/>
    <w:rsid w:val="003A64C5"/>
    <w:rsid w:val="003A6AD0"/>
    <w:rsid w:val="003B0260"/>
    <w:rsid w:val="003C43F4"/>
    <w:rsid w:val="003C4D22"/>
    <w:rsid w:val="003C5B62"/>
    <w:rsid w:val="003D0A94"/>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B6B6B"/>
    <w:rsid w:val="004D21AC"/>
    <w:rsid w:val="004E7CD4"/>
    <w:rsid w:val="004F6FEC"/>
    <w:rsid w:val="00502868"/>
    <w:rsid w:val="00506219"/>
    <w:rsid w:val="00513E18"/>
    <w:rsid w:val="00515B6A"/>
    <w:rsid w:val="005160F8"/>
    <w:rsid w:val="00524D8E"/>
    <w:rsid w:val="0054211D"/>
    <w:rsid w:val="00542F7B"/>
    <w:rsid w:val="00543605"/>
    <w:rsid w:val="005454FB"/>
    <w:rsid w:val="005601A1"/>
    <w:rsid w:val="005703A4"/>
    <w:rsid w:val="00572F09"/>
    <w:rsid w:val="005772C1"/>
    <w:rsid w:val="005835BC"/>
    <w:rsid w:val="005856A7"/>
    <w:rsid w:val="00585897"/>
    <w:rsid w:val="00591D25"/>
    <w:rsid w:val="005A42CF"/>
    <w:rsid w:val="005B6209"/>
    <w:rsid w:val="005D1EEF"/>
    <w:rsid w:val="005E365A"/>
    <w:rsid w:val="005E6608"/>
    <w:rsid w:val="00612214"/>
    <w:rsid w:val="00617A8A"/>
    <w:rsid w:val="00625CD7"/>
    <w:rsid w:val="00630932"/>
    <w:rsid w:val="006310D8"/>
    <w:rsid w:val="006312CE"/>
    <w:rsid w:val="00653FE5"/>
    <w:rsid w:val="00661BE2"/>
    <w:rsid w:val="00664174"/>
    <w:rsid w:val="00670788"/>
    <w:rsid w:val="0067545A"/>
    <w:rsid w:val="00684BD9"/>
    <w:rsid w:val="006959E4"/>
    <w:rsid w:val="006A1DDE"/>
    <w:rsid w:val="006A4013"/>
    <w:rsid w:val="006B0F80"/>
    <w:rsid w:val="006C04FD"/>
    <w:rsid w:val="006C0567"/>
    <w:rsid w:val="006D21F9"/>
    <w:rsid w:val="006D7E71"/>
    <w:rsid w:val="006F2454"/>
    <w:rsid w:val="006F2A76"/>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A5ECB"/>
    <w:rsid w:val="007B6293"/>
    <w:rsid w:val="007B7829"/>
    <w:rsid w:val="007C0AC3"/>
    <w:rsid w:val="007C1863"/>
    <w:rsid w:val="007E6925"/>
    <w:rsid w:val="007E7201"/>
    <w:rsid w:val="007F2B0B"/>
    <w:rsid w:val="007F3217"/>
    <w:rsid w:val="008169B8"/>
    <w:rsid w:val="00822C96"/>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37BE"/>
    <w:rsid w:val="009043C2"/>
    <w:rsid w:val="00905C38"/>
    <w:rsid w:val="00911E50"/>
    <w:rsid w:val="00913892"/>
    <w:rsid w:val="009204DE"/>
    <w:rsid w:val="0092193B"/>
    <w:rsid w:val="009229AD"/>
    <w:rsid w:val="0092351B"/>
    <w:rsid w:val="00930DCE"/>
    <w:rsid w:val="0094372F"/>
    <w:rsid w:val="009541F2"/>
    <w:rsid w:val="009551F2"/>
    <w:rsid w:val="00973033"/>
    <w:rsid w:val="009761A7"/>
    <w:rsid w:val="00983C6B"/>
    <w:rsid w:val="00985525"/>
    <w:rsid w:val="009868D6"/>
    <w:rsid w:val="0098762D"/>
    <w:rsid w:val="00994FDF"/>
    <w:rsid w:val="009A053C"/>
    <w:rsid w:val="009A755B"/>
    <w:rsid w:val="009B0CAB"/>
    <w:rsid w:val="009C333E"/>
    <w:rsid w:val="009D4F78"/>
    <w:rsid w:val="009D6016"/>
    <w:rsid w:val="009E0268"/>
    <w:rsid w:val="009E1C96"/>
    <w:rsid w:val="009E540F"/>
    <w:rsid w:val="009E6DD0"/>
    <w:rsid w:val="009F17AE"/>
    <w:rsid w:val="009F1B70"/>
    <w:rsid w:val="009F2D5C"/>
    <w:rsid w:val="00A028C7"/>
    <w:rsid w:val="00A13BBD"/>
    <w:rsid w:val="00A2406F"/>
    <w:rsid w:val="00A42301"/>
    <w:rsid w:val="00A4711C"/>
    <w:rsid w:val="00A5290F"/>
    <w:rsid w:val="00A5364A"/>
    <w:rsid w:val="00A623F2"/>
    <w:rsid w:val="00A64328"/>
    <w:rsid w:val="00A6432A"/>
    <w:rsid w:val="00A66729"/>
    <w:rsid w:val="00A70AFC"/>
    <w:rsid w:val="00A7136B"/>
    <w:rsid w:val="00A86266"/>
    <w:rsid w:val="00A900AA"/>
    <w:rsid w:val="00AA2AB0"/>
    <w:rsid w:val="00AA39AC"/>
    <w:rsid w:val="00AA6059"/>
    <w:rsid w:val="00AD7B7A"/>
    <w:rsid w:val="00AE62B0"/>
    <w:rsid w:val="00AF0F1A"/>
    <w:rsid w:val="00AF107C"/>
    <w:rsid w:val="00AF196D"/>
    <w:rsid w:val="00AF5D91"/>
    <w:rsid w:val="00B021CE"/>
    <w:rsid w:val="00B13369"/>
    <w:rsid w:val="00B170EA"/>
    <w:rsid w:val="00B26AB3"/>
    <w:rsid w:val="00B26D76"/>
    <w:rsid w:val="00B40A2F"/>
    <w:rsid w:val="00B45E45"/>
    <w:rsid w:val="00B46E62"/>
    <w:rsid w:val="00B553A6"/>
    <w:rsid w:val="00B74F5B"/>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1290"/>
    <w:rsid w:val="00C95F59"/>
    <w:rsid w:val="00CB2778"/>
    <w:rsid w:val="00CC239F"/>
    <w:rsid w:val="00CC576B"/>
    <w:rsid w:val="00CC596A"/>
    <w:rsid w:val="00CD042D"/>
    <w:rsid w:val="00CD3DB4"/>
    <w:rsid w:val="00CD457C"/>
    <w:rsid w:val="00CD4D18"/>
    <w:rsid w:val="00CE0598"/>
    <w:rsid w:val="00CE5D18"/>
    <w:rsid w:val="00CF1B81"/>
    <w:rsid w:val="00D0607D"/>
    <w:rsid w:val="00D209A0"/>
    <w:rsid w:val="00D222F0"/>
    <w:rsid w:val="00D24750"/>
    <w:rsid w:val="00D2564A"/>
    <w:rsid w:val="00D3067D"/>
    <w:rsid w:val="00D41538"/>
    <w:rsid w:val="00D4482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26415"/>
    <w:rsid w:val="00E30F9B"/>
    <w:rsid w:val="00E44AFC"/>
    <w:rsid w:val="00E55AFD"/>
    <w:rsid w:val="00E935F8"/>
    <w:rsid w:val="00EA4D5C"/>
    <w:rsid w:val="00EA53D2"/>
    <w:rsid w:val="00EA7A64"/>
    <w:rsid w:val="00EB54FA"/>
    <w:rsid w:val="00EB5C9A"/>
    <w:rsid w:val="00EC5379"/>
    <w:rsid w:val="00ED072E"/>
    <w:rsid w:val="00ED5CF6"/>
    <w:rsid w:val="00EE1177"/>
    <w:rsid w:val="00EE6AD6"/>
    <w:rsid w:val="00EF081C"/>
    <w:rsid w:val="00EF2E4B"/>
    <w:rsid w:val="00EF32C9"/>
    <w:rsid w:val="00EF5063"/>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5F2"/>
    <w:rsid w:val="00F86709"/>
    <w:rsid w:val="00F91926"/>
    <w:rsid w:val="00F95D9E"/>
    <w:rsid w:val="00FA26A6"/>
    <w:rsid w:val="00FA4D8E"/>
    <w:rsid w:val="00FB570D"/>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100758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2021-04-26T05:17:00Z</cp:lastPrinted>
  <dcterms:created xsi:type="dcterms:W3CDTF">2021-06-30T17:06:00Z</dcterms:created>
  <dcterms:modified xsi:type="dcterms:W3CDTF">2021-06-30T17:06:00Z</dcterms:modified>
</cp:coreProperties>
</file>