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760FA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C102BEF" w14:textId="77777777"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C33C1E">
        <w:rPr>
          <w:rFonts w:cs="Arial"/>
          <w:sz w:val="22"/>
          <w:szCs w:val="22"/>
          <w:u w:val="none"/>
          <w:lang w:val="en-ZA"/>
        </w:rPr>
        <w:t>Assembly</w:t>
      </w:r>
    </w:p>
    <w:p w14:paraId="13727D38" w14:textId="77777777"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5225EF">
        <w:rPr>
          <w:rFonts w:cs="Arial"/>
          <w:sz w:val="22"/>
          <w:szCs w:val="22"/>
          <w:u w:val="none"/>
          <w:lang w:val="en-ZA"/>
        </w:rPr>
        <w:t>1</w:t>
      </w:r>
      <w:r w:rsidR="008C0374">
        <w:rPr>
          <w:rFonts w:cs="Arial"/>
          <w:sz w:val="22"/>
          <w:szCs w:val="22"/>
          <w:u w:val="none"/>
          <w:lang w:val="en-ZA"/>
        </w:rPr>
        <w:t>747</w:t>
      </w:r>
    </w:p>
    <w:p w14:paraId="2A3A7788" w14:textId="77777777" w:rsidR="008C0374" w:rsidRPr="008C0374" w:rsidRDefault="008C0374" w:rsidP="00BD2DB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8C0374">
        <w:rPr>
          <w:rFonts w:ascii="Arial" w:hAnsi="Arial" w:cs="Arial"/>
          <w:b/>
          <w:noProof/>
          <w:lang w:val="af-ZA"/>
        </w:rPr>
        <w:t xml:space="preserve">Ms D </w:t>
      </w:r>
      <w:r w:rsidRPr="008C0374">
        <w:rPr>
          <w:rFonts w:ascii="Arial" w:eastAsia="Times New Roman" w:hAnsi="Arial" w:cs="Arial"/>
          <w:b/>
          <w:lang w:val="en-GB"/>
        </w:rPr>
        <w:t>Carter</w:t>
      </w:r>
      <w:r w:rsidRPr="008C0374">
        <w:rPr>
          <w:rFonts w:ascii="Arial" w:hAnsi="Arial" w:cs="Arial"/>
          <w:b/>
          <w:noProof/>
          <w:lang w:val="af-ZA"/>
        </w:rPr>
        <w:t xml:space="preserve"> (Cope) to ask the Minister of Transport:</w:t>
      </w:r>
    </w:p>
    <w:p w14:paraId="20085A00" w14:textId="77777777" w:rsidR="008C0374" w:rsidRPr="008C0374" w:rsidRDefault="008C0374" w:rsidP="00BD2DB8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noProof/>
          <w:lang w:val="af-ZA"/>
        </w:rPr>
      </w:pPr>
      <w:r w:rsidRPr="008C0374">
        <w:rPr>
          <w:rFonts w:ascii="Arial" w:hAnsi="Arial" w:cs="Arial"/>
          <w:noProof/>
          <w:lang w:val="af-ZA"/>
        </w:rPr>
        <w:t>(1)</w:t>
      </w:r>
      <w:r w:rsidRPr="008C0374">
        <w:rPr>
          <w:rFonts w:ascii="Arial" w:hAnsi="Arial" w:cs="Arial"/>
          <w:noProof/>
          <w:lang w:val="af-ZA"/>
        </w:rPr>
        <w:tab/>
        <w:t xml:space="preserve">What level of co-operation exists between the Passenger Rail Agency of South Africa and local </w:t>
      </w:r>
      <w:r w:rsidRPr="008C0374">
        <w:rPr>
          <w:rFonts w:ascii="Arial" w:hAnsi="Arial" w:cs="Arial"/>
        </w:rPr>
        <w:t>authorities</w:t>
      </w:r>
      <w:r w:rsidRPr="008C0374">
        <w:rPr>
          <w:rFonts w:ascii="Arial" w:hAnsi="Arial" w:cs="Arial"/>
          <w:noProof/>
          <w:lang w:val="af-ZA"/>
        </w:rPr>
        <w:t>;</w:t>
      </w:r>
    </w:p>
    <w:p w14:paraId="7B717150" w14:textId="77777777" w:rsidR="008C0374" w:rsidRPr="008C0374" w:rsidRDefault="008C0374" w:rsidP="00BD2DB8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8C0374">
        <w:rPr>
          <w:rFonts w:ascii="Arial" w:hAnsi="Arial" w:cs="Arial"/>
          <w:noProof/>
          <w:lang w:val="af-ZA"/>
        </w:rPr>
        <w:t>(2)</w:t>
      </w:r>
      <w:r w:rsidRPr="008C0374">
        <w:rPr>
          <w:rFonts w:ascii="Arial" w:hAnsi="Arial" w:cs="Arial"/>
          <w:noProof/>
          <w:lang w:val="af-ZA"/>
        </w:rPr>
        <w:tab/>
      </w:r>
      <w:r w:rsidRPr="008C0374">
        <w:rPr>
          <w:rFonts w:ascii="Arial" w:hAnsi="Arial" w:cs="Arial"/>
        </w:rPr>
        <w:t>whether</w:t>
      </w:r>
      <w:r w:rsidRPr="008C0374">
        <w:rPr>
          <w:rFonts w:ascii="Arial" w:hAnsi="Arial" w:cs="Arial"/>
          <w:noProof/>
          <w:lang w:val="af-ZA"/>
        </w:rPr>
        <w:t xml:space="preserve"> there is a </w:t>
      </w:r>
      <w:r w:rsidRPr="008C0374">
        <w:rPr>
          <w:rFonts w:ascii="Arial" w:hAnsi="Arial" w:cs="Arial"/>
        </w:rPr>
        <w:t>framework</w:t>
      </w:r>
      <w:r w:rsidRPr="008C0374">
        <w:rPr>
          <w:rFonts w:ascii="Arial" w:hAnsi="Arial" w:cs="Arial"/>
          <w:noProof/>
          <w:lang w:val="af-ZA"/>
        </w:rPr>
        <w:t xml:space="preserve"> to guide such co-operation; if not, why not; if so, (a) what are the relevant details and (b) what success has been </w:t>
      </w:r>
      <w:r w:rsidR="0095689B">
        <w:rPr>
          <w:rFonts w:ascii="Arial" w:hAnsi="Arial" w:cs="Arial"/>
          <w:noProof/>
          <w:lang w:val="af-ZA"/>
        </w:rPr>
        <w:t>achieved?</w:t>
      </w:r>
      <w:r w:rsidR="0095689B">
        <w:rPr>
          <w:rFonts w:ascii="Arial" w:hAnsi="Arial" w:cs="Arial"/>
          <w:noProof/>
          <w:lang w:val="af-ZA"/>
        </w:rPr>
        <w:tab/>
      </w:r>
      <w:r w:rsidRPr="008C0374">
        <w:rPr>
          <w:rFonts w:ascii="Arial" w:hAnsi="Arial" w:cs="Arial"/>
        </w:rPr>
        <w:t>NW2054E</w:t>
      </w:r>
    </w:p>
    <w:p w14:paraId="4A14F68F" w14:textId="77777777" w:rsidR="005225EF" w:rsidRPr="005225EF" w:rsidRDefault="005225EF" w:rsidP="00BD2DB8">
      <w:pPr>
        <w:jc w:val="both"/>
        <w:rPr>
          <w:rFonts w:ascii="Arial" w:hAnsi="Arial" w:cs="Arial"/>
          <w:b/>
          <w:lang w:val="en-ZA" w:eastAsia="x-none"/>
        </w:rPr>
      </w:pPr>
      <w:r w:rsidRPr="005225EF">
        <w:rPr>
          <w:rFonts w:ascii="Arial" w:hAnsi="Arial" w:cs="Arial"/>
          <w:b/>
          <w:lang w:val="en-ZA" w:eastAsia="x-none"/>
        </w:rPr>
        <w:t>REPLY</w:t>
      </w:r>
    </w:p>
    <w:p w14:paraId="2143A664" w14:textId="77777777" w:rsidR="00CF7156" w:rsidRDefault="006C2823" w:rsidP="00BD2DB8">
      <w:pPr>
        <w:pStyle w:val="ListParagraph"/>
        <w:numPr>
          <w:ilvl w:val="0"/>
          <w:numId w:val="46"/>
        </w:numPr>
        <w:spacing w:line="300" w:lineRule="auto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There is a long</w:t>
      </w:r>
      <w:r w:rsidR="00BD2DB8">
        <w:rPr>
          <w:rFonts w:ascii="Arial" w:hAnsi="Arial" w:cs="Arial"/>
          <w:lang w:val="en-ZA" w:eastAsia="x-none"/>
        </w:rPr>
        <w:t xml:space="preserve"> </w:t>
      </w:r>
      <w:r>
        <w:rPr>
          <w:rFonts w:ascii="Arial" w:hAnsi="Arial" w:cs="Arial"/>
          <w:lang w:val="en-ZA" w:eastAsia="x-none"/>
        </w:rPr>
        <w:t>standing</w:t>
      </w:r>
      <w:r w:rsidR="00302469">
        <w:rPr>
          <w:rFonts w:ascii="Arial" w:hAnsi="Arial" w:cs="Arial"/>
          <w:lang w:val="en-ZA" w:eastAsia="x-none"/>
        </w:rPr>
        <w:t xml:space="preserve"> relationship between the Passenger Rail Agency of South Africa</w:t>
      </w:r>
      <w:r>
        <w:rPr>
          <w:rFonts w:ascii="Arial" w:hAnsi="Arial" w:cs="Arial"/>
          <w:lang w:val="en-ZA" w:eastAsia="x-none"/>
        </w:rPr>
        <w:t xml:space="preserve"> (PRASA)</w:t>
      </w:r>
      <w:r w:rsidR="00302469">
        <w:rPr>
          <w:rFonts w:ascii="Arial" w:hAnsi="Arial" w:cs="Arial"/>
          <w:lang w:val="en-ZA" w:eastAsia="x-none"/>
        </w:rPr>
        <w:t xml:space="preserve"> and various local a</w:t>
      </w:r>
      <w:r w:rsidR="00BD2DB8">
        <w:rPr>
          <w:rFonts w:ascii="Arial" w:hAnsi="Arial" w:cs="Arial"/>
          <w:lang w:val="en-ZA" w:eastAsia="x-none"/>
        </w:rPr>
        <w:t xml:space="preserve">uthorities across the country. </w:t>
      </w:r>
      <w:r w:rsidR="00302469">
        <w:rPr>
          <w:rFonts w:ascii="Arial" w:hAnsi="Arial" w:cs="Arial"/>
          <w:lang w:val="en-ZA" w:eastAsia="x-none"/>
        </w:rPr>
        <w:t xml:space="preserve">The establishment of Rail Steering / Liaison Committees was done </w:t>
      </w:r>
      <w:r w:rsidR="00CF7156">
        <w:rPr>
          <w:rFonts w:ascii="Arial" w:hAnsi="Arial" w:cs="Arial"/>
          <w:lang w:val="en-ZA" w:eastAsia="x-none"/>
        </w:rPr>
        <w:t>many years ago</w:t>
      </w:r>
      <w:r w:rsidR="00302469">
        <w:rPr>
          <w:rFonts w:ascii="Arial" w:hAnsi="Arial" w:cs="Arial"/>
          <w:lang w:val="en-ZA" w:eastAsia="x-none"/>
        </w:rPr>
        <w:t>,</w:t>
      </w:r>
      <w:r>
        <w:rPr>
          <w:rFonts w:ascii="Arial" w:hAnsi="Arial" w:cs="Arial"/>
          <w:lang w:val="en-ZA" w:eastAsia="x-none"/>
        </w:rPr>
        <w:t xml:space="preserve"> </w:t>
      </w:r>
      <w:r w:rsidR="00CF7156">
        <w:rPr>
          <w:rFonts w:ascii="Arial" w:hAnsi="Arial" w:cs="Arial"/>
          <w:lang w:val="en-ZA" w:eastAsia="x-none"/>
        </w:rPr>
        <w:t xml:space="preserve">still </w:t>
      </w:r>
      <w:r>
        <w:rPr>
          <w:rFonts w:ascii="Arial" w:hAnsi="Arial" w:cs="Arial"/>
          <w:lang w:val="en-ZA" w:eastAsia="x-none"/>
        </w:rPr>
        <w:t xml:space="preserve">in the days of the South African Rail Commuter Corporation (SARCC), with various local and district municipalities. </w:t>
      </w:r>
    </w:p>
    <w:p w14:paraId="3B530705" w14:textId="77777777" w:rsidR="00CF7156" w:rsidRDefault="00CF7156" w:rsidP="00BD2DB8">
      <w:pPr>
        <w:pStyle w:val="ListParagraph"/>
        <w:spacing w:line="300" w:lineRule="auto"/>
        <w:ind w:left="360"/>
        <w:jc w:val="both"/>
        <w:rPr>
          <w:rFonts w:ascii="Arial" w:hAnsi="Arial" w:cs="Arial"/>
          <w:lang w:val="en-ZA" w:eastAsia="x-none"/>
        </w:rPr>
      </w:pPr>
    </w:p>
    <w:p w14:paraId="7B412999" w14:textId="77777777" w:rsidR="006101B3" w:rsidRDefault="00CF7156" w:rsidP="00BD2DB8">
      <w:pPr>
        <w:pStyle w:val="ListParagraph"/>
        <w:spacing w:line="300" w:lineRule="auto"/>
        <w:ind w:left="360"/>
        <w:jc w:val="both"/>
        <w:rPr>
          <w:rFonts w:ascii="Arial" w:hAnsi="Arial" w:cs="Arial"/>
          <w:i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More recently, in terms of the National Land Transport Transition Act (NLTA), the establishment of Intermodal Planning </w:t>
      </w:r>
      <w:r w:rsidR="00BD2DB8">
        <w:rPr>
          <w:rFonts w:ascii="Arial" w:hAnsi="Arial" w:cs="Arial"/>
          <w:lang w:val="en-ZA" w:eastAsia="x-none"/>
        </w:rPr>
        <w:t xml:space="preserve">Committees (IPCs) is required. </w:t>
      </w:r>
      <w:r>
        <w:rPr>
          <w:rFonts w:ascii="Arial" w:hAnsi="Arial" w:cs="Arial"/>
          <w:lang w:val="en-ZA" w:eastAsia="x-none"/>
        </w:rPr>
        <w:t xml:space="preserve">To quote the NLTA </w:t>
      </w:r>
      <w:r w:rsidRPr="00CF7156">
        <w:rPr>
          <w:rFonts w:ascii="Arial" w:hAnsi="Arial" w:cs="Arial"/>
          <w:i/>
          <w:lang w:val="en-ZA" w:eastAsia="x-none"/>
        </w:rPr>
        <w:t>“Every municipality that is</w:t>
      </w:r>
      <w:r>
        <w:rPr>
          <w:rFonts w:ascii="Arial" w:hAnsi="Arial" w:cs="Arial"/>
          <w:i/>
          <w:lang w:val="en-ZA" w:eastAsia="x-none"/>
        </w:rPr>
        <w:t xml:space="preserve"> establishing an integrated public transport network or has significant passenger rail services in its area must… establish an intermodal planning committee </w:t>
      </w:r>
      <w:r w:rsidR="006101B3">
        <w:rPr>
          <w:rFonts w:ascii="Arial" w:hAnsi="Arial" w:cs="Arial"/>
          <w:i/>
          <w:lang w:val="en-ZA" w:eastAsia="x-none"/>
        </w:rPr>
        <w:t>consisting of the prescribed technical officials and prescribed representatives of rail operators”.</w:t>
      </w:r>
    </w:p>
    <w:p w14:paraId="0DE5CA2C" w14:textId="77777777" w:rsidR="006101B3" w:rsidRDefault="006101B3" w:rsidP="00BD2DB8">
      <w:pPr>
        <w:pStyle w:val="ListParagraph"/>
        <w:spacing w:line="300" w:lineRule="auto"/>
        <w:ind w:left="360"/>
        <w:jc w:val="both"/>
        <w:rPr>
          <w:rFonts w:ascii="Arial" w:hAnsi="Arial" w:cs="Arial"/>
          <w:i/>
          <w:lang w:val="en-ZA" w:eastAsia="x-none"/>
        </w:rPr>
      </w:pPr>
    </w:p>
    <w:p w14:paraId="4389A990" w14:textId="77777777" w:rsidR="006101B3" w:rsidRPr="006101B3" w:rsidRDefault="006101B3" w:rsidP="00BD2DB8">
      <w:pPr>
        <w:pStyle w:val="ListParagraph"/>
        <w:spacing w:line="300" w:lineRule="auto"/>
        <w:ind w:left="360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Many IPCs have already been established</w:t>
      </w:r>
      <w:r w:rsidR="00BD2DB8">
        <w:rPr>
          <w:rFonts w:ascii="Arial" w:hAnsi="Arial" w:cs="Arial"/>
          <w:lang w:val="en-ZA" w:eastAsia="x-none"/>
        </w:rPr>
        <w:t xml:space="preserve">, in which PRASA is an active participant </w:t>
      </w:r>
      <w:r>
        <w:rPr>
          <w:rFonts w:ascii="Arial" w:hAnsi="Arial" w:cs="Arial"/>
          <w:lang w:val="en-ZA" w:eastAsia="x-none"/>
        </w:rPr>
        <w:t xml:space="preserve">and </w:t>
      </w:r>
      <w:r w:rsidR="00B55382">
        <w:rPr>
          <w:rFonts w:ascii="Arial" w:hAnsi="Arial" w:cs="Arial"/>
          <w:lang w:val="en-ZA" w:eastAsia="x-none"/>
        </w:rPr>
        <w:t xml:space="preserve">have to some extent </w:t>
      </w:r>
      <w:r>
        <w:rPr>
          <w:rFonts w:ascii="Arial" w:hAnsi="Arial" w:cs="Arial"/>
          <w:lang w:val="en-ZA" w:eastAsia="x-none"/>
        </w:rPr>
        <w:t xml:space="preserve">replaced some </w:t>
      </w:r>
      <w:r w:rsidR="00B55382">
        <w:rPr>
          <w:rFonts w:ascii="Arial" w:hAnsi="Arial" w:cs="Arial"/>
          <w:lang w:val="en-ZA" w:eastAsia="x-none"/>
        </w:rPr>
        <w:t>of the</w:t>
      </w:r>
      <w:r>
        <w:rPr>
          <w:rFonts w:ascii="Arial" w:hAnsi="Arial" w:cs="Arial"/>
          <w:lang w:val="en-ZA" w:eastAsia="x-none"/>
        </w:rPr>
        <w:t xml:space="preserve"> Rail Steering / Liaison Committees. In the event where an IPC has not formerly been established, the co-operation between PRASA and the local authority continues through the existing committees</w:t>
      </w:r>
      <w:r w:rsidR="00B55382">
        <w:rPr>
          <w:rFonts w:ascii="Arial" w:hAnsi="Arial" w:cs="Arial"/>
          <w:lang w:val="en-ZA" w:eastAsia="x-none"/>
        </w:rPr>
        <w:t xml:space="preserve"> or project related steering committees</w:t>
      </w:r>
      <w:r>
        <w:rPr>
          <w:rFonts w:ascii="Arial" w:hAnsi="Arial" w:cs="Arial"/>
          <w:lang w:val="en-ZA" w:eastAsia="x-none"/>
        </w:rPr>
        <w:t>.</w:t>
      </w:r>
      <w:r w:rsidR="00BD2DB8">
        <w:rPr>
          <w:rFonts w:ascii="Arial" w:hAnsi="Arial" w:cs="Arial"/>
          <w:lang w:val="en-ZA" w:eastAsia="x-none"/>
        </w:rPr>
        <w:t xml:space="preserve"> PRASA reports to the Executive Authority on quarterly basis on the activities and progress regarding the work of the IPCs, as part of the Shareholders Compact.</w:t>
      </w:r>
    </w:p>
    <w:p w14:paraId="133AE044" w14:textId="77777777" w:rsidR="00CF7156" w:rsidRPr="006101B3" w:rsidRDefault="006101B3" w:rsidP="00BD2DB8">
      <w:pPr>
        <w:spacing w:line="300" w:lineRule="auto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ab/>
      </w:r>
    </w:p>
    <w:p w14:paraId="54BA5A35" w14:textId="77777777" w:rsidR="00CF7156" w:rsidRDefault="00993A4A" w:rsidP="00BD2DB8">
      <w:pPr>
        <w:pStyle w:val="ListParagraph"/>
        <w:numPr>
          <w:ilvl w:val="0"/>
          <w:numId w:val="46"/>
        </w:numPr>
        <w:spacing w:line="300" w:lineRule="auto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The function of the IPC, as per the NLTA, is t</w:t>
      </w:r>
      <w:r w:rsidR="00E70C5A">
        <w:rPr>
          <w:rFonts w:ascii="Arial" w:hAnsi="Arial" w:cs="Arial"/>
          <w:lang w:val="en-ZA" w:eastAsia="x-none"/>
        </w:rPr>
        <w:t>o coordinate and integrate public transport as well as non-motorised and freight transport. I</w:t>
      </w:r>
      <w:r w:rsidR="001D7045">
        <w:rPr>
          <w:rFonts w:ascii="Arial" w:hAnsi="Arial" w:cs="Arial"/>
          <w:lang w:val="en-ZA" w:eastAsia="x-none"/>
        </w:rPr>
        <w:t>n</w:t>
      </w:r>
      <w:r w:rsidR="00E70C5A">
        <w:rPr>
          <w:rFonts w:ascii="Arial" w:hAnsi="Arial" w:cs="Arial"/>
          <w:lang w:val="en-ZA" w:eastAsia="x-none"/>
        </w:rPr>
        <w:t xml:space="preserve"> addition where there are significant passenger rail services in the area, the intermodal planning committee must facilitate the conclusion of appropriate service level agreements between the municipality and the PRASA</w:t>
      </w:r>
      <w:r w:rsidR="00AC3691">
        <w:rPr>
          <w:rFonts w:ascii="Arial" w:hAnsi="Arial" w:cs="Arial"/>
          <w:lang w:val="en-ZA" w:eastAsia="x-none"/>
        </w:rPr>
        <w:t>.</w:t>
      </w:r>
    </w:p>
    <w:p w14:paraId="0C23845D" w14:textId="77777777" w:rsidR="001A4D04" w:rsidRDefault="001A4D04" w:rsidP="00BD2DB8">
      <w:pPr>
        <w:pStyle w:val="ListParagraph"/>
        <w:spacing w:line="300" w:lineRule="auto"/>
        <w:ind w:left="360"/>
        <w:jc w:val="both"/>
        <w:rPr>
          <w:rFonts w:ascii="Arial" w:hAnsi="Arial" w:cs="Arial"/>
          <w:lang w:val="en-ZA" w:eastAsia="x-none"/>
        </w:rPr>
      </w:pPr>
    </w:p>
    <w:p w14:paraId="4999A6D9" w14:textId="77777777" w:rsidR="00AC3691" w:rsidRDefault="001D7045" w:rsidP="00BD2DB8">
      <w:pPr>
        <w:pStyle w:val="ListParagraph"/>
        <w:numPr>
          <w:ilvl w:val="0"/>
          <w:numId w:val="47"/>
        </w:numPr>
        <w:spacing w:line="300" w:lineRule="auto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Terms of reference for the committees, as required by the NLTA, have been developed.</w:t>
      </w:r>
    </w:p>
    <w:p w14:paraId="26A29C1D" w14:textId="77777777" w:rsidR="001A4D04" w:rsidRDefault="001A4D04" w:rsidP="00BD2DB8">
      <w:pPr>
        <w:pStyle w:val="ListParagraph"/>
        <w:spacing w:line="300" w:lineRule="auto"/>
        <w:jc w:val="both"/>
        <w:rPr>
          <w:rFonts w:ascii="Arial" w:hAnsi="Arial" w:cs="Arial"/>
          <w:lang w:val="en-ZA" w:eastAsia="x-none"/>
        </w:rPr>
      </w:pPr>
    </w:p>
    <w:p w14:paraId="474BD0BD" w14:textId="77777777" w:rsidR="00AC3691" w:rsidRDefault="002C5620" w:rsidP="00BD2DB8">
      <w:pPr>
        <w:pStyle w:val="ListParagraph"/>
        <w:numPr>
          <w:ilvl w:val="0"/>
          <w:numId w:val="47"/>
        </w:numPr>
        <w:spacing w:line="300" w:lineRule="auto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The close co-operation </w:t>
      </w:r>
      <w:r w:rsidR="001D7045">
        <w:rPr>
          <w:rFonts w:ascii="Arial" w:hAnsi="Arial" w:cs="Arial"/>
          <w:lang w:val="en-ZA" w:eastAsia="x-none"/>
        </w:rPr>
        <w:t>between the parties</w:t>
      </w:r>
      <w:r>
        <w:rPr>
          <w:rFonts w:ascii="Arial" w:hAnsi="Arial" w:cs="Arial"/>
          <w:lang w:val="en-ZA" w:eastAsia="x-none"/>
        </w:rPr>
        <w:t xml:space="preserve"> has resulted in</w:t>
      </w:r>
      <w:r w:rsidR="00646212">
        <w:rPr>
          <w:rFonts w:ascii="Arial" w:hAnsi="Arial" w:cs="Arial"/>
          <w:lang w:val="en-ZA" w:eastAsia="x-none"/>
        </w:rPr>
        <w:t xml:space="preserve"> good co-ordination and alignment of plans</w:t>
      </w:r>
      <w:r w:rsidR="00B55382">
        <w:rPr>
          <w:rFonts w:ascii="Arial" w:hAnsi="Arial" w:cs="Arial"/>
          <w:lang w:val="en-ZA" w:eastAsia="x-none"/>
        </w:rPr>
        <w:t xml:space="preserve"> and</w:t>
      </w:r>
      <w:r w:rsidR="00646212">
        <w:rPr>
          <w:rFonts w:ascii="Arial" w:hAnsi="Arial" w:cs="Arial"/>
          <w:lang w:val="en-ZA" w:eastAsia="x-none"/>
        </w:rPr>
        <w:t xml:space="preserve"> projects</w:t>
      </w:r>
      <w:r w:rsidR="00AC3691">
        <w:rPr>
          <w:rFonts w:ascii="Arial" w:hAnsi="Arial" w:cs="Arial"/>
          <w:lang w:val="en-ZA" w:eastAsia="x-none"/>
        </w:rPr>
        <w:t xml:space="preserve"> </w:t>
      </w:r>
      <w:r w:rsidR="00B55382">
        <w:rPr>
          <w:rFonts w:ascii="Arial" w:hAnsi="Arial" w:cs="Arial"/>
          <w:lang w:val="en-ZA" w:eastAsia="x-none"/>
        </w:rPr>
        <w:t>across the country.  These include :</w:t>
      </w:r>
    </w:p>
    <w:p w14:paraId="4293B216" w14:textId="77777777" w:rsidR="00B55382" w:rsidRDefault="00B55382" w:rsidP="00BD2DB8">
      <w:pPr>
        <w:pStyle w:val="ListParagraph"/>
        <w:numPr>
          <w:ilvl w:val="1"/>
          <w:numId w:val="47"/>
        </w:numPr>
        <w:spacing w:line="300" w:lineRule="auto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Integrated Transport Plans</w:t>
      </w:r>
    </w:p>
    <w:p w14:paraId="3723BE26" w14:textId="77777777" w:rsidR="00B55382" w:rsidRDefault="00B55382" w:rsidP="00BD2DB8">
      <w:pPr>
        <w:pStyle w:val="ListParagraph"/>
        <w:numPr>
          <w:ilvl w:val="1"/>
          <w:numId w:val="47"/>
        </w:numPr>
        <w:spacing w:line="300" w:lineRule="auto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Integrated Public Transport Network development</w:t>
      </w:r>
    </w:p>
    <w:p w14:paraId="71428E92" w14:textId="77777777" w:rsidR="00B55382" w:rsidRDefault="00B55382" w:rsidP="00BD2DB8">
      <w:pPr>
        <w:pStyle w:val="ListParagraph"/>
        <w:numPr>
          <w:ilvl w:val="1"/>
          <w:numId w:val="47"/>
        </w:numPr>
        <w:spacing w:line="300" w:lineRule="auto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PRASA Strategic Plan</w:t>
      </w:r>
    </w:p>
    <w:p w14:paraId="21645DEB" w14:textId="77777777" w:rsidR="00B55382" w:rsidRDefault="00B55382" w:rsidP="00BD2DB8">
      <w:pPr>
        <w:pStyle w:val="ListParagraph"/>
        <w:numPr>
          <w:ilvl w:val="1"/>
          <w:numId w:val="47"/>
        </w:numPr>
        <w:spacing w:line="300" w:lineRule="auto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Joint projects (station precincts)</w:t>
      </w:r>
    </w:p>
    <w:p w14:paraId="2273C2FC" w14:textId="77777777" w:rsidR="00112BD6" w:rsidRDefault="00B55382" w:rsidP="00BD2DB8">
      <w:pPr>
        <w:pStyle w:val="ListParagraph"/>
        <w:numPr>
          <w:ilvl w:val="1"/>
          <w:numId w:val="47"/>
        </w:numPr>
        <w:spacing w:line="300" w:lineRule="auto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Development of Memoranda of Action (MOA)</w:t>
      </w:r>
    </w:p>
    <w:p w14:paraId="4E0C0361" w14:textId="77777777" w:rsidR="005225EF" w:rsidRPr="00BD2DB8" w:rsidRDefault="00112BD6" w:rsidP="005225EF">
      <w:pPr>
        <w:pStyle w:val="ListParagraph"/>
        <w:numPr>
          <w:ilvl w:val="1"/>
          <w:numId w:val="47"/>
        </w:numPr>
        <w:spacing w:line="300" w:lineRule="auto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lastRenderedPageBreak/>
        <w:t>Sharing of information</w:t>
      </w:r>
      <w:r w:rsidR="00B55382">
        <w:rPr>
          <w:rFonts w:ascii="Arial" w:hAnsi="Arial" w:cs="Arial"/>
          <w:lang w:val="en-ZA" w:eastAsia="x-none"/>
        </w:rPr>
        <w:t xml:space="preserve">    </w:t>
      </w:r>
    </w:p>
    <w:sectPr w:rsidR="005225EF" w:rsidRPr="00BD2DB8" w:rsidSect="0095689B">
      <w:pgSz w:w="12240" w:h="15840"/>
      <w:pgMar w:top="568" w:right="1183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</w:lvl>
    <w:lvl w:ilvl="3" w:tplc="1C09000F" w:tentative="1">
      <w:start w:val="1"/>
      <w:numFmt w:val="decimal"/>
      <w:lvlText w:val="%4."/>
      <w:lvlJc w:val="left"/>
      <w:pPr>
        <w:ind w:left="7275" w:hanging="360"/>
      </w:p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</w:lvl>
    <w:lvl w:ilvl="6" w:tplc="1C09000F" w:tentative="1">
      <w:start w:val="1"/>
      <w:numFmt w:val="decimal"/>
      <w:lvlText w:val="%7."/>
      <w:lvlJc w:val="left"/>
      <w:pPr>
        <w:ind w:left="9435" w:hanging="360"/>
      </w:p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F0B24"/>
    <w:multiLevelType w:val="hybridMultilevel"/>
    <w:tmpl w:val="0734AC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6704C4"/>
    <w:multiLevelType w:val="hybridMultilevel"/>
    <w:tmpl w:val="8EA610FC"/>
    <w:lvl w:ilvl="0" w:tplc="DBC6FE6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5" w15:restartNumberingAfterBreak="0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730A7"/>
    <w:multiLevelType w:val="hybridMultilevel"/>
    <w:tmpl w:val="6E88F4E0"/>
    <w:lvl w:ilvl="0" w:tplc="E90630F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640D0A"/>
    <w:multiLevelType w:val="hybridMultilevel"/>
    <w:tmpl w:val="2F84347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251C"/>
    <w:multiLevelType w:val="hybridMultilevel"/>
    <w:tmpl w:val="D590B6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17738"/>
    <w:multiLevelType w:val="hybridMultilevel"/>
    <w:tmpl w:val="05E474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74629"/>
    <w:multiLevelType w:val="hybridMultilevel"/>
    <w:tmpl w:val="B210C712"/>
    <w:lvl w:ilvl="0" w:tplc="B9C8D246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161DF"/>
    <w:multiLevelType w:val="hybridMultilevel"/>
    <w:tmpl w:val="6D36264E"/>
    <w:lvl w:ilvl="0" w:tplc="5D06104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C495CA3"/>
    <w:multiLevelType w:val="hybridMultilevel"/>
    <w:tmpl w:val="26A4B70A"/>
    <w:lvl w:ilvl="0" w:tplc="0BEA86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94CA8C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9106F"/>
    <w:multiLevelType w:val="hybridMultilevel"/>
    <w:tmpl w:val="3FE6E0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6C16A5"/>
    <w:multiLevelType w:val="hybridMultilevel"/>
    <w:tmpl w:val="0E566074"/>
    <w:lvl w:ilvl="0" w:tplc="E16A1E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078E0"/>
    <w:multiLevelType w:val="hybridMultilevel"/>
    <w:tmpl w:val="B29A52DE"/>
    <w:lvl w:ilvl="0" w:tplc="A01E4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C407BB"/>
    <w:multiLevelType w:val="hybridMultilevel"/>
    <w:tmpl w:val="643A5D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3703C6"/>
    <w:multiLevelType w:val="hybridMultilevel"/>
    <w:tmpl w:val="0492BE00"/>
    <w:lvl w:ilvl="0" w:tplc="9DE86FA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D29EA"/>
    <w:multiLevelType w:val="hybridMultilevel"/>
    <w:tmpl w:val="E7321E72"/>
    <w:lvl w:ilvl="0" w:tplc="38406276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A5A2F"/>
    <w:multiLevelType w:val="hybridMultilevel"/>
    <w:tmpl w:val="034E1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02567"/>
    <w:multiLevelType w:val="hybridMultilevel"/>
    <w:tmpl w:val="2D545DC2"/>
    <w:lvl w:ilvl="0" w:tplc="DB365F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6"/>
  </w:num>
  <w:num w:numId="5">
    <w:abstractNumId w:val="37"/>
  </w:num>
  <w:num w:numId="6">
    <w:abstractNumId w:val="41"/>
  </w:num>
  <w:num w:numId="7">
    <w:abstractNumId w:val="33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30"/>
  </w:num>
  <w:num w:numId="13">
    <w:abstractNumId w:val="14"/>
  </w:num>
  <w:num w:numId="14">
    <w:abstractNumId w:val="8"/>
  </w:num>
  <w:num w:numId="15">
    <w:abstractNumId w:val="43"/>
  </w:num>
  <w:num w:numId="16">
    <w:abstractNumId w:val="29"/>
  </w:num>
  <w:num w:numId="17">
    <w:abstractNumId w:val="15"/>
  </w:num>
  <w:num w:numId="18">
    <w:abstractNumId w:val="45"/>
  </w:num>
  <w:num w:numId="19">
    <w:abstractNumId w:val="7"/>
  </w:num>
  <w:num w:numId="20">
    <w:abstractNumId w:val="11"/>
  </w:num>
  <w:num w:numId="21">
    <w:abstractNumId w:val="24"/>
  </w:num>
  <w:num w:numId="22">
    <w:abstractNumId w:val="40"/>
  </w:num>
  <w:num w:numId="23">
    <w:abstractNumId w:val="5"/>
  </w:num>
  <w:num w:numId="24">
    <w:abstractNumId w:val="32"/>
  </w:num>
  <w:num w:numId="25">
    <w:abstractNumId w:val="25"/>
  </w:num>
  <w:num w:numId="26">
    <w:abstractNumId w:val="16"/>
  </w:num>
  <w:num w:numId="27">
    <w:abstractNumId w:val="1"/>
  </w:num>
  <w:num w:numId="28">
    <w:abstractNumId w:val="0"/>
  </w:num>
  <w:num w:numId="29">
    <w:abstractNumId w:val="36"/>
  </w:num>
  <w:num w:numId="30">
    <w:abstractNumId w:val="4"/>
  </w:num>
  <w:num w:numId="31">
    <w:abstractNumId w:val="21"/>
  </w:num>
  <w:num w:numId="32">
    <w:abstractNumId w:val="20"/>
  </w:num>
  <w:num w:numId="33">
    <w:abstractNumId w:val="31"/>
  </w:num>
  <w:num w:numId="34">
    <w:abstractNumId w:val="23"/>
  </w:num>
  <w:num w:numId="35">
    <w:abstractNumId w:val="35"/>
  </w:num>
  <w:num w:numId="36">
    <w:abstractNumId w:val="9"/>
  </w:num>
  <w:num w:numId="37">
    <w:abstractNumId w:val="42"/>
  </w:num>
  <w:num w:numId="38">
    <w:abstractNumId w:val="39"/>
  </w:num>
  <w:num w:numId="39">
    <w:abstractNumId w:val="34"/>
  </w:num>
  <w:num w:numId="40">
    <w:abstractNumId w:val="10"/>
  </w:num>
  <w:num w:numId="41">
    <w:abstractNumId w:val="26"/>
  </w:num>
  <w:num w:numId="42">
    <w:abstractNumId w:val="19"/>
  </w:num>
  <w:num w:numId="43">
    <w:abstractNumId w:val="38"/>
  </w:num>
  <w:num w:numId="44">
    <w:abstractNumId w:val="44"/>
  </w:num>
  <w:num w:numId="45">
    <w:abstractNumId w:val="27"/>
  </w:num>
  <w:num w:numId="46">
    <w:abstractNumId w:val="4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226DD"/>
    <w:rsid w:val="00026FD9"/>
    <w:rsid w:val="00031989"/>
    <w:rsid w:val="000333D9"/>
    <w:rsid w:val="00041985"/>
    <w:rsid w:val="00044AC4"/>
    <w:rsid w:val="0005391D"/>
    <w:rsid w:val="00055A79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12BD6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A4D04"/>
    <w:rsid w:val="001B2E53"/>
    <w:rsid w:val="001C2A32"/>
    <w:rsid w:val="001C323C"/>
    <w:rsid w:val="001C32E4"/>
    <w:rsid w:val="001D7045"/>
    <w:rsid w:val="001E1B86"/>
    <w:rsid w:val="001F0CED"/>
    <w:rsid w:val="002026BE"/>
    <w:rsid w:val="00204538"/>
    <w:rsid w:val="00206B22"/>
    <w:rsid w:val="002136FC"/>
    <w:rsid w:val="00220C71"/>
    <w:rsid w:val="002328D7"/>
    <w:rsid w:val="002422DA"/>
    <w:rsid w:val="00247ECC"/>
    <w:rsid w:val="00251BC9"/>
    <w:rsid w:val="0025261D"/>
    <w:rsid w:val="00253BA7"/>
    <w:rsid w:val="00261077"/>
    <w:rsid w:val="00261D30"/>
    <w:rsid w:val="002800B5"/>
    <w:rsid w:val="00282928"/>
    <w:rsid w:val="002838E4"/>
    <w:rsid w:val="00286F8A"/>
    <w:rsid w:val="002956D0"/>
    <w:rsid w:val="002A3694"/>
    <w:rsid w:val="002A6B00"/>
    <w:rsid w:val="002B3082"/>
    <w:rsid w:val="002C441D"/>
    <w:rsid w:val="002C4526"/>
    <w:rsid w:val="002C5620"/>
    <w:rsid w:val="002D4348"/>
    <w:rsid w:val="002E0B34"/>
    <w:rsid w:val="002E1F7C"/>
    <w:rsid w:val="002E404E"/>
    <w:rsid w:val="002E4BF3"/>
    <w:rsid w:val="00300DB7"/>
    <w:rsid w:val="00302469"/>
    <w:rsid w:val="00305323"/>
    <w:rsid w:val="003130D1"/>
    <w:rsid w:val="00314530"/>
    <w:rsid w:val="00322191"/>
    <w:rsid w:val="00323697"/>
    <w:rsid w:val="003450B0"/>
    <w:rsid w:val="003510C2"/>
    <w:rsid w:val="003554D8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351F"/>
    <w:rsid w:val="00423E34"/>
    <w:rsid w:val="004253F6"/>
    <w:rsid w:val="00430277"/>
    <w:rsid w:val="00451494"/>
    <w:rsid w:val="00460FD2"/>
    <w:rsid w:val="004679CC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5448"/>
    <w:rsid w:val="005E123E"/>
    <w:rsid w:val="005F20B1"/>
    <w:rsid w:val="005F3F35"/>
    <w:rsid w:val="005F630B"/>
    <w:rsid w:val="006009A0"/>
    <w:rsid w:val="00604285"/>
    <w:rsid w:val="006101B3"/>
    <w:rsid w:val="006140CA"/>
    <w:rsid w:val="00637B39"/>
    <w:rsid w:val="00646212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2823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802076"/>
    <w:rsid w:val="008046C7"/>
    <w:rsid w:val="00810B14"/>
    <w:rsid w:val="0081425D"/>
    <w:rsid w:val="0082214B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F0979"/>
    <w:rsid w:val="00916A9F"/>
    <w:rsid w:val="00916CE7"/>
    <w:rsid w:val="00926370"/>
    <w:rsid w:val="00926938"/>
    <w:rsid w:val="0093674F"/>
    <w:rsid w:val="009405C3"/>
    <w:rsid w:val="00945835"/>
    <w:rsid w:val="0095689B"/>
    <w:rsid w:val="00957D66"/>
    <w:rsid w:val="00961E2F"/>
    <w:rsid w:val="009763BA"/>
    <w:rsid w:val="0097652F"/>
    <w:rsid w:val="00983EC7"/>
    <w:rsid w:val="00990CE2"/>
    <w:rsid w:val="00992AA4"/>
    <w:rsid w:val="00993310"/>
    <w:rsid w:val="00993A4A"/>
    <w:rsid w:val="009A0286"/>
    <w:rsid w:val="009A4739"/>
    <w:rsid w:val="009B043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C3691"/>
    <w:rsid w:val="00AD4B8F"/>
    <w:rsid w:val="00AD6B5D"/>
    <w:rsid w:val="00AE290B"/>
    <w:rsid w:val="00B00C2E"/>
    <w:rsid w:val="00B05CA7"/>
    <w:rsid w:val="00B177F2"/>
    <w:rsid w:val="00B21162"/>
    <w:rsid w:val="00B21C1C"/>
    <w:rsid w:val="00B31016"/>
    <w:rsid w:val="00B32459"/>
    <w:rsid w:val="00B35DB6"/>
    <w:rsid w:val="00B40FCE"/>
    <w:rsid w:val="00B433E2"/>
    <w:rsid w:val="00B47C13"/>
    <w:rsid w:val="00B55382"/>
    <w:rsid w:val="00B56227"/>
    <w:rsid w:val="00B66DDB"/>
    <w:rsid w:val="00B93309"/>
    <w:rsid w:val="00B95F63"/>
    <w:rsid w:val="00BA3834"/>
    <w:rsid w:val="00BA4847"/>
    <w:rsid w:val="00BB5EA4"/>
    <w:rsid w:val="00BC06BD"/>
    <w:rsid w:val="00BC2F3F"/>
    <w:rsid w:val="00BD2DB8"/>
    <w:rsid w:val="00BD65B7"/>
    <w:rsid w:val="00BF349B"/>
    <w:rsid w:val="00BF68B6"/>
    <w:rsid w:val="00BF69C4"/>
    <w:rsid w:val="00C202CB"/>
    <w:rsid w:val="00C33C1E"/>
    <w:rsid w:val="00C50D10"/>
    <w:rsid w:val="00C6207A"/>
    <w:rsid w:val="00C62268"/>
    <w:rsid w:val="00C64770"/>
    <w:rsid w:val="00C731ED"/>
    <w:rsid w:val="00C86247"/>
    <w:rsid w:val="00C92817"/>
    <w:rsid w:val="00CB640B"/>
    <w:rsid w:val="00CC164A"/>
    <w:rsid w:val="00CE1573"/>
    <w:rsid w:val="00CE54D8"/>
    <w:rsid w:val="00CF5BC7"/>
    <w:rsid w:val="00CF7156"/>
    <w:rsid w:val="00D12E4F"/>
    <w:rsid w:val="00D222DF"/>
    <w:rsid w:val="00D444E5"/>
    <w:rsid w:val="00D74AD1"/>
    <w:rsid w:val="00D82AB0"/>
    <w:rsid w:val="00D92CFD"/>
    <w:rsid w:val="00D92F30"/>
    <w:rsid w:val="00DA1E3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370C"/>
    <w:rsid w:val="00E458BE"/>
    <w:rsid w:val="00E53BF6"/>
    <w:rsid w:val="00E57A4E"/>
    <w:rsid w:val="00E6154F"/>
    <w:rsid w:val="00E61FA7"/>
    <w:rsid w:val="00E676A3"/>
    <w:rsid w:val="00E70C5A"/>
    <w:rsid w:val="00E74736"/>
    <w:rsid w:val="00E80B27"/>
    <w:rsid w:val="00E81167"/>
    <w:rsid w:val="00E83B34"/>
    <w:rsid w:val="00EB4A97"/>
    <w:rsid w:val="00EB53F1"/>
    <w:rsid w:val="00EC4D69"/>
    <w:rsid w:val="00EC68CF"/>
    <w:rsid w:val="00EF5FED"/>
    <w:rsid w:val="00EF7862"/>
    <w:rsid w:val="00F00B6B"/>
    <w:rsid w:val="00F25A2B"/>
    <w:rsid w:val="00F3377C"/>
    <w:rsid w:val="00F33DA9"/>
    <w:rsid w:val="00F41319"/>
    <w:rsid w:val="00F526AD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038FCC"/>
  <w15:docId w15:val="{26EA5F75-10F4-4316-B99D-70765A5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F118-55C5-43FF-9F55-6B1781A3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2016-04-13T12:44:00Z</cp:lastPrinted>
  <dcterms:created xsi:type="dcterms:W3CDTF">2016-09-13T10:22:00Z</dcterms:created>
  <dcterms:modified xsi:type="dcterms:W3CDTF">2016-09-13T10:22:00Z</dcterms:modified>
</cp:coreProperties>
</file>