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352B0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1" name="Picture 1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465143">
        <w:rPr>
          <w:rFonts w:ascii="Arial" w:hAnsi="Arial" w:cs="Arial"/>
          <w:b/>
          <w:bCs/>
          <w:sz w:val="24"/>
          <w:szCs w:val="24"/>
        </w:rPr>
        <w:t>. 1746</w:t>
      </w:r>
      <w:r w:rsidR="00294D96" w:rsidRPr="00B236EF">
        <w:rPr>
          <w:rFonts w:ascii="Arial" w:hAnsi="Arial" w:cs="Arial"/>
          <w:b/>
          <w:bCs/>
          <w:sz w:val="24"/>
          <w:szCs w:val="24"/>
        </w:rPr>
        <w:tab/>
      </w:r>
    </w:p>
    <w:p w:rsidR="00B236EF" w:rsidRDefault="00B236EF" w:rsidP="00B236EF">
      <w:pPr>
        <w:spacing w:after="0" w:line="360" w:lineRule="auto"/>
        <w:ind w:left="720" w:hanging="720"/>
        <w:jc w:val="both"/>
        <w:outlineLvl w:val="0"/>
        <w:rPr>
          <w:rFonts w:ascii="Arial" w:hAnsi="Arial" w:cs="Arial"/>
          <w:b/>
          <w:bCs/>
          <w:sz w:val="24"/>
          <w:szCs w:val="24"/>
        </w:rPr>
      </w:pPr>
    </w:p>
    <w:p w:rsidR="00465143" w:rsidRPr="00465143" w:rsidRDefault="00465143" w:rsidP="00465143">
      <w:pPr>
        <w:spacing w:after="0" w:line="360" w:lineRule="auto"/>
        <w:ind w:left="720" w:hanging="720"/>
        <w:jc w:val="both"/>
        <w:outlineLvl w:val="0"/>
        <w:rPr>
          <w:rFonts w:ascii="Arial" w:hAnsi="Arial" w:cs="Arial"/>
          <w:b/>
          <w:bCs/>
          <w:sz w:val="24"/>
          <w:szCs w:val="24"/>
        </w:rPr>
      </w:pPr>
      <w:r w:rsidRPr="00465143">
        <w:rPr>
          <w:rFonts w:ascii="Arial" w:hAnsi="Arial" w:cs="Arial"/>
          <w:b/>
          <w:bCs/>
          <w:sz w:val="24"/>
          <w:szCs w:val="24"/>
          <w:lang w:val="en-GB"/>
        </w:rPr>
        <w:t>Mrs</w:t>
      </w:r>
      <w:r w:rsidRPr="00465143">
        <w:rPr>
          <w:rFonts w:ascii="Arial" w:hAnsi="Arial" w:cs="Arial"/>
          <w:b/>
          <w:bCs/>
          <w:sz w:val="24"/>
          <w:szCs w:val="24"/>
        </w:rPr>
        <w:t xml:space="preserve"> T P Msane (EFF) to ask the Minister of Trade, Industry and Competition</w:t>
      </w:r>
      <w:r w:rsidR="00500116" w:rsidRPr="00465143">
        <w:rPr>
          <w:rFonts w:ascii="Arial" w:hAnsi="Arial" w:cs="Arial"/>
          <w:b/>
          <w:bCs/>
          <w:sz w:val="24"/>
          <w:szCs w:val="24"/>
        </w:rPr>
        <w:fldChar w:fldCharType="begin"/>
      </w:r>
      <w:r w:rsidRPr="00465143">
        <w:rPr>
          <w:rFonts w:ascii="Arial" w:hAnsi="Arial" w:cs="Arial"/>
          <w:b/>
          <w:bCs/>
          <w:sz w:val="24"/>
          <w:szCs w:val="24"/>
        </w:rPr>
        <w:instrText xml:space="preserve"> XE "Minister of Trade, Industry and Competition" </w:instrText>
      </w:r>
      <w:r w:rsidR="00500116" w:rsidRPr="00465143">
        <w:rPr>
          <w:rFonts w:ascii="Arial" w:hAnsi="Arial" w:cs="Arial"/>
          <w:b/>
          <w:bCs/>
          <w:sz w:val="24"/>
          <w:szCs w:val="24"/>
        </w:rPr>
        <w:fldChar w:fldCharType="end"/>
      </w:r>
      <w:r w:rsidRPr="00465143">
        <w:rPr>
          <w:rFonts w:ascii="Arial" w:hAnsi="Arial" w:cs="Arial"/>
          <w:b/>
          <w:bCs/>
          <w:sz w:val="24"/>
          <w:szCs w:val="24"/>
        </w:rPr>
        <w:t xml:space="preserve">: </w:t>
      </w:r>
    </w:p>
    <w:p w:rsidR="00465143" w:rsidRPr="00465143" w:rsidRDefault="00465143" w:rsidP="00465143">
      <w:pPr>
        <w:spacing w:after="0" w:line="360" w:lineRule="auto"/>
        <w:jc w:val="both"/>
        <w:rPr>
          <w:rFonts w:ascii="Arial" w:hAnsi="Arial" w:cs="Arial"/>
          <w:sz w:val="24"/>
          <w:szCs w:val="24"/>
        </w:rPr>
      </w:pPr>
      <w:r w:rsidRPr="00465143">
        <w:rPr>
          <w:rFonts w:ascii="Arial" w:hAnsi="Arial" w:cs="Arial"/>
          <w:sz w:val="24"/>
          <w:szCs w:val="24"/>
          <w:lang w:val="en-GB"/>
        </w:rPr>
        <w:t>What (a) South African companies are involved in the Programme for Infrastructure Development in Africa (PIDA) that seeks to build intra-African infrastructure that will assist in the implementation of the African Continental Free Trade Agreement and (b) projects are prioritised by the PIDA programme to advance the slow growth of the internet provisions in the African continent</w:t>
      </w:r>
      <w:r>
        <w:rPr>
          <w:rFonts w:ascii="Arial" w:hAnsi="Arial" w:cs="Arial"/>
          <w:sz w:val="24"/>
          <w:szCs w:val="24"/>
        </w:rPr>
        <w:t xml:space="preserve">? </w:t>
      </w:r>
      <w:r w:rsidRPr="00465143">
        <w:rPr>
          <w:rFonts w:ascii="Arial" w:hAnsi="Arial" w:cs="Arial"/>
          <w:sz w:val="24"/>
          <w:szCs w:val="24"/>
        </w:rPr>
        <w:t>[NW1994E]</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DF6BAC" w:rsidRDefault="00C32891" w:rsidP="00DF6BAC">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p>
    <w:p w:rsidR="00361FC6" w:rsidRPr="00361FC6" w:rsidRDefault="00361FC6" w:rsidP="00361FC6">
      <w:pPr>
        <w:pStyle w:val="ListParagraph"/>
        <w:numPr>
          <w:ilvl w:val="0"/>
          <w:numId w:val="27"/>
        </w:numPr>
        <w:spacing w:after="0" w:line="360" w:lineRule="auto"/>
        <w:ind w:left="567" w:hanging="567"/>
        <w:jc w:val="both"/>
        <w:rPr>
          <w:rFonts w:ascii="Arial" w:hAnsi="Arial" w:cs="Arial"/>
          <w:bCs/>
          <w:sz w:val="24"/>
          <w:szCs w:val="24"/>
          <w:lang w:val="en-GB"/>
        </w:rPr>
      </w:pPr>
      <w:r w:rsidRPr="00361FC6">
        <w:rPr>
          <w:rFonts w:ascii="Arial" w:hAnsi="Arial" w:cs="Arial"/>
          <w:bCs/>
          <w:sz w:val="24"/>
          <w:szCs w:val="24"/>
        </w:rPr>
        <w:t>The Program</w:t>
      </w:r>
      <w:r w:rsidR="0011219B">
        <w:rPr>
          <w:rFonts w:ascii="Arial" w:hAnsi="Arial" w:cs="Arial"/>
          <w:bCs/>
          <w:sz w:val="24"/>
          <w:szCs w:val="24"/>
        </w:rPr>
        <w:t>me</w:t>
      </w:r>
      <w:r w:rsidRPr="00361FC6">
        <w:rPr>
          <w:rFonts w:ascii="Arial" w:hAnsi="Arial" w:cs="Arial"/>
          <w:bCs/>
          <w:sz w:val="24"/>
          <w:szCs w:val="24"/>
        </w:rPr>
        <w:t xml:space="preserve"> for Infrastructure Development in Africa (PIDA) is a program</w:t>
      </w:r>
      <w:r w:rsidR="00D05AC9">
        <w:rPr>
          <w:rFonts w:ascii="Arial" w:hAnsi="Arial" w:cs="Arial"/>
          <w:bCs/>
          <w:sz w:val="24"/>
          <w:szCs w:val="24"/>
        </w:rPr>
        <w:t>me</w:t>
      </w:r>
      <w:r w:rsidRPr="00361FC6">
        <w:rPr>
          <w:rFonts w:ascii="Arial" w:hAnsi="Arial" w:cs="Arial"/>
          <w:bCs/>
          <w:sz w:val="24"/>
          <w:szCs w:val="24"/>
        </w:rPr>
        <w:t xml:space="preserve"> of the African Union</w:t>
      </w:r>
      <w:r w:rsidR="002F01E3">
        <w:rPr>
          <w:rFonts w:ascii="Arial" w:hAnsi="Arial" w:cs="Arial"/>
          <w:bCs/>
          <w:sz w:val="24"/>
          <w:szCs w:val="24"/>
        </w:rPr>
        <w:t xml:space="preserve"> (AU)</w:t>
      </w:r>
      <w:r w:rsidRPr="00361FC6">
        <w:rPr>
          <w:rFonts w:ascii="Arial" w:hAnsi="Arial" w:cs="Arial"/>
          <w:bCs/>
          <w:sz w:val="24"/>
          <w:szCs w:val="24"/>
        </w:rPr>
        <w:t xml:space="preserve"> launched in 2012. It is </w:t>
      </w:r>
      <w:r w:rsidR="002F01E3">
        <w:rPr>
          <w:rFonts w:ascii="Arial" w:hAnsi="Arial" w:cs="Arial"/>
          <w:bCs/>
          <w:sz w:val="24"/>
          <w:szCs w:val="24"/>
        </w:rPr>
        <w:t xml:space="preserve">coordinated through </w:t>
      </w:r>
      <w:r>
        <w:rPr>
          <w:rFonts w:ascii="Arial" w:hAnsi="Arial" w:cs="Arial"/>
          <w:bCs/>
          <w:sz w:val="24"/>
          <w:szCs w:val="24"/>
        </w:rPr>
        <w:t xml:space="preserve">the AU Development Agency </w:t>
      </w:r>
      <w:r w:rsidRPr="00361FC6">
        <w:rPr>
          <w:rFonts w:ascii="Arial" w:hAnsi="Arial" w:cs="Arial"/>
          <w:bCs/>
          <w:sz w:val="24"/>
          <w:szCs w:val="24"/>
        </w:rPr>
        <w:t>(AUDA-NEPAD) in cooperation with regional economic communities, regional and continental technical agencies, and participating countries. The Presidency acts as the focal point in South Africa</w:t>
      </w:r>
      <w:r>
        <w:rPr>
          <w:rFonts w:ascii="Arial" w:hAnsi="Arial" w:cs="Arial"/>
          <w:bCs/>
          <w:sz w:val="24"/>
          <w:szCs w:val="24"/>
        </w:rPr>
        <w:t xml:space="preserve"> for</w:t>
      </w:r>
      <w:r w:rsidRPr="00361FC6">
        <w:rPr>
          <w:rFonts w:ascii="Arial" w:hAnsi="Arial" w:cs="Arial"/>
          <w:bCs/>
          <w:sz w:val="24"/>
          <w:szCs w:val="24"/>
        </w:rPr>
        <w:t xml:space="preserve"> PIDA.</w:t>
      </w:r>
    </w:p>
    <w:p w:rsidR="00361FC6" w:rsidRPr="00361FC6" w:rsidRDefault="00361FC6" w:rsidP="00361FC6">
      <w:pPr>
        <w:pStyle w:val="ListParagraph"/>
        <w:spacing w:after="0" w:line="360" w:lineRule="auto"/>
        <w:ind w:left="567"/>
        <w:jc w:val="both"/>
        <w:rPr>
          <w:rFonts w:ascii="Arial" w:hAnsi="Arial" w:cs="Arial"/>
          <w:bCs/>
          <w:sz w:val="24"/>
          <w:szCs w:val="24"/>
          <w:lang w:val="en-GB"/>
        </w:rPr>
      </w:pPr>
    </w:p>
    <w:p w:rsidR="00361FC6" w:rsidRPr="00361FC6" w:rsidRDefault="00361FC6" w:rsidP="00361FC6">
      <w:pPr>
        <w:pStyle w:val="ListParagraph"/>
        <w:spacing w:after="0" w:line="360" w:lineRule="auto"/>
        <w:ind w:left="567"/>
        <w:jc w:val="both"/>
        <w:rPr>
          <w:rFonts w:ascii="Arial" w:hAnsi="Arial" w:cs="Arial"/>
          <w:sz w:val="24"/>
          <w:szCs w:val="24"/>
        </w:rPr>
      </w:pPr>
      <w:r>
        <w:rPr>
          <w:rFonts w:ascii="Arial" w:hAnsi="Arial" w:cs="Arial"/>
          <w:sz w:val="24"/>
          <w:szCs w:val="24"/>
        </w:rPr>
        <w:t xml:space="preserve">According to </w:t>
      </w:r>
      <w:r w:rsidR="002F01E3">
        <w:rPr>
          <w:rFonts w:ascii="Arial" w:hAnsi="Arial" w:cs="Arial"/>
          <w:sz w:val="24"/>
          <w:szCs w:val="24"/>
        </w:rPr>
        <w:t xml:space="preserve">the Virtual </w:t>
      </w:r>
      <w:r>
        <w:rPr>
          <w:rFonts w:ascii="Arial" w:hAnsi="Arial" w:cs="Arial"/>
          <w:sz w:val="24"/>
          <w:szCs w:val="24"/>
        </w:rPr>
        <w:t>PIDA</w:t>
      </w:r>
      <w:r w:rsidR="002F01E3">
        <w:rPr>
          <w:rFonts w:ascii="Arial" w:hAnsi="Arial" w:cs="Arial"/>
          <w:sz w:val="24"/>
          <w:szCs w:val="24"/>
        </w:rPr>
        <w:t xml:space="preserve"> Information Centre</w:t>
      </w:r>
      <w:r>
        <w:rPr>
          <w:rFonts w:ascii="Arial" w:hAnsi="Arial" w:cs="Arial"/>
          <w:sz w:val="24"/>
          <w:szCs w:val="24"/>
        </w:rPr>
        <w:t xml:space="preserve">, the </w:t>
      </w:r>
      <w:r w:rsidRPr="00361FC6">
        <w:rPr>
          <w:rFonts w:ascii="Arial" w:hAnsi="Arial" w:cs="Arial"/>
          <w:sz w:val="24"/>
          <w:szCs w:val="24"/>
        </w:rPr>
        <w:t>following South African firms and entities have been i</w:t>
      </w:r>
      <w:r>
        <w:rPr>
          <w:rFonts w:ascii="Arial" w:hAnsi="Arial" w:cs="Arial"/>
          <w:sz w:val="24"/>
          <w:szCs w:val="24"/>
        </w:rPr>
        <w:t xml:space="preserve">nvolved in the development and </w:t>
      </w:r>
      <w:r w:rsidRPr="00361FC6">
        <w:rPr>
          <w:rFonts w:ascii="Arial" w:hAnsi="Arial" w:cs="Arial"/>
          <w:sz w:val="24"/>
          <w:szCs w:val="24"/>
        </w:rPr>
        <w:t xml:space="preserve">implementation of </w:t>
      </w:r>
      <w:r w:rsidR="00A04BE9">
        <w:rPr>
          <w:rFonts w:ascii="Arial" w:hAnsi="Arial" w:cs="Arial"/>
          <w:sz w:val="24"/>
          <w:szCs w:val="24"/>
        </w:rPr>
        <w:t xml:space="preserve">the </w:t>
      </w:r>
      <w:r w:rsidRPr="00361FC6">
        <w:rPr>
          <w:rFonts w:ascii="Arial" w:hAnsi="Arial" w:cs="Arial"/>
          <w:sz w:val="24"/>
          <w:szCs w:val="24"/>
        </w:rPr>
        <w:t>PIDA Priority Action Plan (PIDA PAP1 2012-2020)</w:t>
      </w:r>
      <w:r w:rsidR="00A04BE9">
        <w:rPr>
          <w:rFonts w:ascii="Arial" w:hAnsi="Arial" w:cs="Arial"/>
          <w:sz w:val="24"/>
          <w:szCs w:val="24"/>
        </w:rPr>
        <w:t>:</w:t>
      </w:r>
      <w:r w:rsidRPr="00361FC6">
        <w:rPr>
          <w:rFonts w:ascii="Arial" w:hAnsi="Arial" w:cs="Arial"/>
          <w:sz w:val="24"/>
          <w:szCs w:val="24"/>
        </w:rPr>
        <w:t xml:space="preserve"> </w:t>
      </w:r>
    </w:p>
    <w:p w:rsidR="00361FC6" w:rsidRPr="00361FC6" w:rsidRDefault="00361FC6" w:rsidP="00361FC6">
      <w:pPr>
        <w:pStyle w:val="ListParagraph"/>
        <w:spacing w:after="0" w:line="360" w:lineRule="auto"/>
        <w:ind w:left="567"/>
        <w:jc w:val="both"/>
        <w:rPr>
          <w:rFonts w:ascii="Arial" w:hAnsi="Arial" w:cs="Arial"/>
          <w:bCs/>
          <w:sz w:val="24"/>
          <w:szCs w:val="24"/>
          <w:lang w:val="en-GB"/>
        </w:rPr>
      </w:pPr>
    </w:p>
    <w:tbl>
      <w:tblPr>
        <w:tblStyle w:val="TableGrid"/>
        <w:tblW w:w="0" w:type="auto"/>
        <w:tblInd w:w="567" w:type="dxa"/>
        <w:tblLook w:val="04A0"/>
      </w:tblPr>
      <w:tblGrid>
        <w:gridCol w:w="958"/>
        <w:gridCol w:w="3423"/>
        <w:gridCol w:w="2456"/>
        <w:gridCol w:w="1919"/>
      </w:tblGrid>
      <w:tr w:rsidR="00361FC6" w:rsidRPr="00361FC6" w:rsidTr="00F16360">
        <w:tc>
          <w:tcPr>
            <w:tcW w:w="958" w:type="dxa"/>
          </w:tcPr>
          <w:p w:rsidR="00361FC6" w:rsidRPr="00361FC6" w:rsidRDefault="00361FC6" w:rsidP="00361FC6">
            <w:pPr>
              <w:pStyle w:val="ListParagraph"/>
              <w:spacing w:line="360" w:lineRule="auto"/>
              <w:ind w:left="0"/>
              <w:jc w:val="both"/>
              <w:rPr>
                <w:rFonts w:ascii="Arial" w:hAnsi="Arial" w:cs="Arial"/>
                <w:b/>
                <w:bCs/>
                <w:sz w:val="24"/>
                <w:szCs w:val="24"/>
                <w:lang w:val="en-GB"/>
              </w:rPr>
            </w:pPr>
            <w:r w:rsidRPr="00361FC6">
              <w:rPr>
                <w:rFonts w:ascii="Arial" w:hAnsi="Arial" w:cs="Arial"/>
                <w:b/>
                <w:bCs/>
                <w:sz w:val="24"/>
                <w:szCs w:val="24"/>
                <w:lang w:val="en-GB"/>
              </w:rPr>
              <w:t>No</w:t>
            </w:r>
          </w:p>
        </w:tc>
        <w:tc>
          <w:tcPr>
            <w:tcW w:w="3423" w:type="dxa"/>
          </w:tcPr>
          <w:p w:rsidR="00361FC6" w:rsidRPr="00361FC6" w:rsidRDefault="00361FC6" w:rsidP="00361FC6">
            <w:pPr>
              <w:pStyle w:val="ListParagraph"/>
              <w:spacing w:line="360" w:lineRule="auto"/>
              <w:ind w:left="0"/>
              <w:jc w:val="both"/>
              <w:rPr>
                <w:rFonts w:ascii="Arial" w:hAnsi="Arial" w:cs="Arial"/>
                <w:b/>
                <w:bCs/>
                <w:sz w:val="24"/>
                <w:szCs w:val="24"/>
                <w:lang w:val="en-GB"/>
              </w:rPr>
            </w:pPr>
            <w:r w:rsidRPr="00361FC6">
              <w:rPr>
                <w:rFonts w:ascii="Arial" w:hAnsi="Arial" w:cs="Arial"/>
                <w:b/>
                <w:bCs/>
                <w:sz w:val="24"/>
                <w:szCs w:val="24"/>
                <w:lang w:val="en-GB"/>
              </w:rPr>
              <w:t>Project Name</w:t>
            </w:r>
          </w:p>
        </w:tc>
        <w:tc>
          <w:tcPr>
            <w:tcW w:w="2456" w:type="dxa"/>
          </w:tcPr>
          <w:p w:rsidR="00361FC6" w:rsidRPr="00361FC6" w:rsidRDefault="00361FC6" w:rsidP="00361FC6">
            <w:pPr>
              <w:pStyle w:val="ListParagraph"/>
              <w:spacing w:line="360" w:lineRule="auto"/>
              <w:ind w:left="0"/>
              <w:jc w:val="both"/>
              <w:rPr>
                <w:rFonts w:ascii="Arial" w:hAnsi="Arial" w:cs="Arial"/>
                <w:b/>
                <w:bCs/>
                <w:sz w:val="24"/>
                <w:szCs w:val="24"/>
                <w:lang w:val="en-GB"/>
              </w:rPr>
            </w:pPr>
            <w:r w:rsidRPr="00361FC6">
              <w:rPr>
                <w:rFonts w:ascii="Arial" w:hAnsi="Arial" w:cs="Arial"/>
                <w:b/>
                <w:bCs/>
                <w:sz w:val="24"/>
                <w:szCs w:val="24"/>
                <w:lang w:val="en-GB"/>
              </w:rPr>
              <w:t>SA Firms/Entities</w:t>
            </w:r>
          </w:p>
        </w:tc>
        <w:tc>
          <w:tcPr>
            <w:tcW w:w="1919" w:type="dxa"/>
          </w:tcPr>
          <w:p w:rsidR="00361FC6" w:rsidRPr="00361FC6" w:rsidRDefault="00361FC6" w:rsidP="00361FC6">
            <w:pPr>
              <w:pStyle w:val="ListParagraph"/>
              <w:spacing w:line="360" w:lineRule="auto"/>
              <w:ind w:left="0"/>
              <w:jc w:val="both"/>
              <w:rPr>
                <w:rFonts w:ascii="Arial" w:hAnsi="Arial" w:cs="Arial"/>
                <w:b/>
                <w:bCs/>
                <w:sz w:val="24"/>
                <w:szCs w:val="24"/>
                <w:lang w:val="en-GB"/>
              </w:rPr>
            </w:pPr>
            <w:r w:rsidRPr="00361FC6">
              <w:rPr>
                <w:rFonts w:ascii="Arial" w:hAnsi="Arial" w:cs="Arial"/>
                <w:b/>
                <w:bCs/>
                <w:sz w:val="24"/>
                <w:szCs w:val="24"/>
                <w:lang w:val="en-GB"/>
              </w:rPr>
              <w:t>Status</w:t>
            </w:r>
          </w:p>
        </w:tc>
      </w:tr>
      <w:tr w:rsidR="00361FC6" w:rsidRPr="00361FC6" w:rsidTr="00F16360">
        <w:tc>
          <w:tcPr>
            <w:tcW w:w="958"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01</w:t>
            </w:r>
          </w:p>
        </w:tc>
        <w:tc>
          <w:tcPr>
            <w:tcW w:w="3423"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Durban Port Expansion</w:t>
            </w:r>
          </w:p>
        </w:tc>
        <w:tc>
          <w:tcPr>
            <w:tcW w:w="2456"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 xml:space="preserve">Transnet </w:t>
            </w:r>
          </w:p>
        </w:tc>
        <w:tc>
          <w:tcPr>
            <w:tcW w:w="1919"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Ongoing</w:t>
            </w:r>
          </w:p>
        </w:tc>
      </w:tr>
      <w:tr w:rsidR="00361FC6" w:rsidRPr="00361FC6" w:rsidTr="00F16360">
        <w:tc>
          <w:tcPr>
            <w:tcW w:w="958"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02</w:t>
            </w:r>
          </w:p>
        </w:tc>
        <w:tc>
          <w:tcPr>
            <w:tcW w:w="3423"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 xml:space="preserve">Maputo Port Expansion (Maputo and Matola Drybulk </w:t>
            </w:r>
            <w:r w:rsidRPr="00361FC6">
              <w:rPr>
                <w:rFonts w:ascii="Arial" w:hAnsi="Arial" w:cs="Arial"/>
                <w:bCs/>
                <w:sz w:val="24"/>
                <w:szCs w:val="24"/>
                <w:lang w:val="en-GB"/>
              </w:rPr>
              <w:lastRenderedPageBreak/>
              <w:t>Terminal)</w:t>
            </w:r>
          </w:p>
        </w:tc>
        <w:tc>
          <w:tcPr>
            <w:tcW w:w="2456"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lastRenderedPageBreak/>
              <w:t>Grindrod and Zutari</w:t>
            </w:r>
          </w:p>
        </w:tc>
        <w:tc>
          <w:tcPr>
            <w:tcW w:w="1919"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Ongoing</w:t>
            </w:r>
          </w:p>
        </w:tc>
      </w:tr>
      <w:tr w:rsidR="00361FC6" w:rsidRPr="00361FC6" w:rsidTr="00F16360">
        <w:tc>
          <w:tcPr>
            <w:tcW w:w="958"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lastRenderedPageBreak/>
              <w:t>03</w:t>
            </w:r>
          </w:p>
        </w:tc>
        <w:tc>
          <w:tcPr>
            <w:tcW w:w="3423"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Dar es Salaam-Isaka-Mwanza Standard Gauge Railway Project</w:t>
            </w:r>
          </w:p>
        </w:tc>
        <w:tc>
          <w:tcPr>
            <w:tcW w:w="2456"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DBSA</w:t>
            </w:r>
          </w:p>
        </w:tc>
        <w:tc>
          <w:tcPr>
            <w:tcW w:w="1919"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Ongoing</w:t>
            </w:r>
          </w:p>
        </w:tc>
      </w:tr>
      <w:tr w:rsidR="00361FC6" w:rsidRPr="00361FC6" w:rsidTr="00F16360">
        <w:tc>
          <w:tcPr>
            <w:tcW w:w="958"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04</w:t>
            </w:r>
          </w:p>
        </w:tc>
        <w:tc>
          <w:tcPr>
            <w:tcW w:w="3423"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Beitbridge One Stop Border Post</w:t>
            </w:r>
          </w:p>
        </w:tc>
        <w:tc>
          <w:tcPr>
            <w:tcW w:w="2456"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Rand Merchant Bank, Standard Bank, Nedbank, ECIC and Raubex Group Ltd</w:t>
            </w:r>
          </w:p>
        </w:tc>
        <w:tc>
          <w:tcPr>
            <w:tcW w:w="1919" w:type="dxa"/>
          </w:tcPr>
          <w:p w:rsidR="00361FC6" w:rsidRPr="00361FC6" w:rsidRDefault="00361FC6" w:rsidP="00361FC6">
            <w:pPr>
              <w:pStyle w:val="ListParagraph"/>
              <w:spacing w:line="360" w:lineRule="auto"/>
              <w:ind w:left="0"/>
              <w:jc w:val="both"/>
              <w:rPr>
                <w:rFonts w:ascii="Arial" w:hAnsi="Arial" w:cs="Arial"/>
                <w:bCs/>
                <w:sz w:val="24"/>
                <w:szCs w:val="24"/>
                <w:lang w:val="en-GB"/>
              </w:rPr>
            </w:pPr>
            <w:r w:rsidRPr="00361FC6">
              <w:rPr>
                <w:rFonts w:ascii="Arial" w:hAnsi="Arial" w:cs="Arial"/>
                <w:bCs/>
                <w:sz w:val="24"/>
                <w:szCs w:val="24"/>
                <w:lang w:val="en-GB"/>
              </w:rPr>
              <w:t>Ongoing</w:t>
            </w:r>
          </w:p>
        </w:tc>
      </w:tr>
    </w:tbl>
    <w:p w:rsidR="00361FC6" w:rsidRPr="00A04BE9" w:rsidRDefault="00361FC6" w:rsidP="00361FC6">
      <w:pPr>
        <w:spacing w:after="0" w:line="360" w:lineRule="auto"/>
        <w:jc w:val="both"/>
        <w:rPr>
          <w:rFonts w:ascii="Arial" w:hAnsi="Arial" w:cs="Arial"/>
          <w:bCs/>
          <w:i/>
          <w:sz w:val="24"/>
          <w:szCs w:val="24"/>
        </w:rPr>
      </w:pPr>
      <w:r>
        <w:rPr>
          <w:rFonts w:ascii="Arial" w:hAnsi="Arial" w:cs="Arial"/>
          <w:bCs/>
          <w:sz w:val="24"/>
          <w:szCs w:val="24"/>
          <w:lang w:val="en-GB"/>
        </w:rPr>
        <w:tab/>
      </w:r>
      <w:r w:rsidRPr="00A04BE9">
        <w:rPr>
          <w:rFonts w:ascii="Arial" w:hAnsi="Arial" w:cs="Arial"/>
          <w:bCs/>
          <w:i/>
          <w:sz w:val="24"/>
          <w:szCs w:val="24"/>
          <w:lang w:val="en-GB"/>
        </w:rPr>
        <w:t>*</w:t>
      </w:r>
      <w:r w:rsidR="00A04BE9" w:rsidRPr="00A04BE9">
        <w:rPr>
          <w:rFonts w:ascii="Arial" w:hAnsi="Arial" w:cs="Arial"/>
          <w:bCs/>
          <w:i/>
          <w:sz w:val="24"/>
          <w:szCs w:val="24"/>
          <w:lang w:val="en-GB"/>
        </w:rPr>
        <w:t xml:space="preserve"> </w:t>
      </w:r>
      <w:r w:rsidRPr="00A04BE9">
        <w:rPr>
          <w:rFonts w:ascii="Arial" w:hAnsi="Arial" w:cs="Arial"/>
          <w:bCs/>
          <w:i/>
          <w:sz w:val="24"/>
          <w:szCs w:val="24"/>
          <w:lang w:val="en-GB"/>
        </w:rPr>
        <w:t xml:space="preserve">Source: </w:t>
      </w:r>
      <w:r w:rsidRPr="00A04BE9">
        <w:rPr>
          <w:rFonts w:ascii="Arial" w:hAnsi="Arial" w:cs="Arial"/>
          <w:bCs/>
          <w:i/>
          <w:sz w:val="24"/>
          <w:szCs w:val="24"/>
        </w:rPr>
        <w:t>PIDA Dashbo</w:t>
      </w:r>
      <w:r w:rsidR="00A04BE9">
        <w:rPr>
          <w:rFonts w:ascii="Arial" w:hAnsi="Arial" w:cs="Arial"/>
          <w:bCs/>
          <w:i/>
          <w:sz w:val="24"/>
          <w:szCs w:val="24"/>
        </w:rPr>
        <w:t>ard, company websites and media</w:t>
      </w:r>
    </w:p>
    <w:p w:rsidR="00361FC6" w:rsidRPr="00361FC6" w:rsidRDefault="00361FC6" w:rsidP="00361FC6">
      <w:pPr>
        <w:spacing w:after="0" w:line="360" w:lineRule="auto"/>
        <w:jc w:val="both"/>
        <w:rPr>
          <w:rFonts w:ascii="Arial" w:hAnsi="Arial" w:cs="Arial"/>
          <w:bCs/>
          <w:sz w:val="24"/>
          <w:szCs w:val="24"/>
          <w:lang w:val="en-GB"/>
        </w:rPr>
      </w:pPr>
    </w:p>
    <w:p w:rsidR="00BB36A7" w:rsidRPr="00DF6BAC" w:rsidRDefault="006C48E9" w:rsidP="00DF6BAC">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With regards to the internet and</w:t>
      </w:r>
      <w:r w:rsidRPr="006C48E9">
        <w:rPr>
          <w:rFonts w:ascii="Arial" w:hAnsi="Arial" w:cs="Arial"/>
          <w:color w:val="202124"/>
          <w:sz w:val="30"/>
          <w:szCs w:val="30"/>
          <w:shd w:val="clear" w:color="auto" w:fill="FFFFFF"/>
        </w:rPr>
        <w:t xml:space="preserve"> </w:t>
      </w:r>
      <w:r w:rsidRPr="006C48E9">
        <w:rPr>
          <w:rFonts w:ascii="Arial" w:hAnsi="Arial" w:cs="Arial"/>
          <w:bCs/>
          <w:sz w:val="24"/>
          <w:szCs w:val="24"/>
        </w:rPr>
        <w:t>Information and communication technologies (ICT)</w:t>
      </w:r>
      <w:r>
        <w:rPr>
          <w:rFonts w:ascii="Arial" w:hAnsi="Arial" w:cs="Arial"/>
          <w:bCs/>
          <w:sz w:val="24"/>
          <w:szCs w:val="24"/>
          <w:lang w:val="en-GB"/>
        </w:rPr>
        <w:t>, the PIDA D</w:t>
      </w:r>
      <w:r w:rsidR="000E6D6D">
        <w:rPr>
          <w:rFonts w:ascii="Arial" w:hAnsi="Arial" w:cs="Arial"/>
          <w:bCs/>
          <w:sz w:val="24"/>
          <w:szCs w:val="24"/>
          <w:lang w:val="en-GB"/>
        </w:rPr>
        <w:t xml:space="preserve">ashboard indicates </w:t>
      </w:r>
      <w:r>
        <w:rPr>
          <w:rFonts w:ascii="Arial" w:hAnsi="Arial" w:cs="Arial"/>
          <w:bCs/>
          <w:sz w:val="24"/>
          <w:szCs w:val="24"/>
          <w:lang w:val="en-GB"/>
        </w:rPr>
        <w:t>a</w:t>
      </w:r>
      <w:r w:rsidR="00361FC6">
        <w:rPr>
          <w:rFonts w:ascii="Arial" w:hAnsi="Arial" w:cs="Arial"/>
          <w:bCs/>
          <w:sz w:val="24"/>
          <w:szCs w:val="24"/>
          <w:lang w:val="en-GB"/>
        </w:rPr>
        <w:t xml:space="preserve"> total of 11</w:t>
      </w:r>
      <w:r w:rsidR="00361FC6" w:rsidRPr="00361FC6">
        <w:rPr>
          <w:rFonts w:ascii="Arial" w:hAnsi="Arial" w:cs="Arial"/>
          <w:bCs/>
          <w:sz w:val="24"/>
          <w:szCs w:val="24"/>
          <w:lang w:val="en-GB"/>
        </w:rPr>
        <w:t>4 projects</w:t>
      </w:r>
      <w:r w:rsidR="000E6D6D">
        <w:rPr>
          <w:rFonts w:ascii="Arial" w:hAnsi="Arial" w:cs="Arial"/>
          <w:bCs/>
          <w:sz w:val="24"/>
          <w:szCs w:val="24"/>
          <w:lang w:val="en-GB"/>
        </w:rPr>
        <w:t xml:space="preserve"> that</w:t>
      </w:r>
      <w:r w:rsidR="00361FC6" w:rsidRPr="00361FC6">
        <w:rPr>
          <w:rFonts w:ascii="Arial" w:hAnsi="Arial" w:cs="Arial"/>
          <w:bCs/>
          <w:sz w:val="24"/>
          <w:szCs w:val="24"/>
          <w:lang w:val="en-GB"/>
        </w:rPr>
        <w:t xml:space="preserve"> have been prioritised under PIDA PAP1</w:t>
      </w:r>
      <w:r>
        <w:rPr>
          <w:rFonts w:ascii="Arial" w:hAnsi="Arial" w:cs="Arial"/>
          <w:bCs/>
          <w:sz w:val="24"/>
          <w:szCs w:val="24"/>
          <w:lang w:val="en-GB"/>
        </w:rPr>
        <w:t xml:space="preserve">. </w:t>
      </w:r>
      <w:r w:rsidR="00361FC6" w:rsidRPr="00361FC6">
        <w:rPr>
          <w:rFonts w:ascii="Arial" w:hAnsi="Arial" w:cs="Arial"/>
          <w:bCs/>
          <w:sz w:val="24"/>
          <w:szCs w:val="24"/>
          <w:lang w:val="en-GB"/>
        </w:rPr>
        <w:t>A further 11 anchor p</w:t>
      </w:r>
      <w:r w:rsidR="000E6D6D">
        <w:rPr>
          <w:rFonts w:ascii="Arial" w:hAnsi="Arial" w:cs="Arial"/>
          <w:bCs/>
          <w:sz w:val="24"/>
          <w:szCs w:val="24"/>
          <w:lang w:val="en-GB"/>
        </w:rPr>
        <w:t xml:space="preserve">rojects have also been approved for the PIDA PAP2 2021-2030, which </w:t>
      </w:r>
      <w:r w:rsidR="000E6D6D" w:rsidRPr="000E6D6D">
        <w:rPr>
          <w:rFonts w:ascii="Arial" w:hAnsi="Arial" w:cs="Arial"/>
          <w:bCs/>
          <w:sz w:val="24"/>
          <w:szCs w:val="24"/>
        </w:rPr>
        <w:t>is the second PIDA priority action plan for the period 2021-2030</w:t>
      </w:r>
      <w:r w:rsidR="00DF6BAC">
        <w:rPr>
          <w:rFonts w:ascii="Arial" w:hAnsi="Arial" w:cs="Arial"/>
          <w:bCs/>
          <w:sz w:val="24"/>
          <w:szCs w:val="24"/>
        </w:rPr>
        <w:t>.</w:t>
      </w:r>
    </w:p>
    <w:p w:rsidR="00BB36A7" w:rsidRDefault="00BB36A7" w:rsidP="0031644A">
      <w:pPr>
        <w:pStyle w:val="Footer"/>
        <w:spacing w:line="360" w:lineRule="auto"/>
        <w:rPr>
          <w:rFonts w:ascii="Arial" w:hAnsi="Arial" w:cs="Arial"/>
          <w:b/>
          <w:sz w:val="24"/>
          <w:szCs w:val="24"/>
        </w:rPr>
      </w:pPr>
    </w:p>
    <w:p w:rsidR="00EA5109" w:rsidRPr="00B618C4" w:rsidRDefault="00406E2A" w:rsidP="00406E2A">
      <w:pPr>
        <w:spacing w:after="0" w:line="360" w:lineRule="auto"/>
        <w:jc w:val="center"/>
        <w:rPr>
          <w:rFonts w:ascii="Arial" w:eastAsia="Calibri" w:hAnsi="Arial" w:cs="Arial"/>
          <w:b/>
          <w:sz w:val="24"/>
          <w:szCs w:val="24"/>
        </w:rPr>
      </w:pPr>
      <w:r>
        <w:rPr>
          <w:rFonts w:ascii="Arial" w:hAnsi="Arial" w:cs="Arial"/>
          <w:b/>
          <w:bCs/>
          <w:sz w:val="24"/>
          <w:szCs w:val="24"/>
        </w:rPr>
        <w:t>-END-</w:t>
      </w:r>
    </w:p>
    <w:sectPr w:rsidR="00EA5109" w:rsidRPr="00B618C4" w:rsidSect="00020570">
      <w:headerReference w:type="default" r:id="rId9"/>
      <w:footerReference w:type="default" r:id="rId10"/>
      <w:pgSz w:w="11906" w:h="16838"/>
      <w:pgMar w:top="2268"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40" w:rsidRDefault="00DB3740" w:rsidP="006D054B">
      <w:pPr>
        <w:spacing w:after="0" w:line="240" w:lineRule="auto"/>
      </w:pPr>
      <w:r>
        <w:separator/>
      </w:r>
    </w:p>
  </w:endnote>
  <w:endnote w:type="continuationSeparator" w:id="0">
    <w:p w:rsidR="00DB3740" w:rsidRDefault="00DB3740"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500116">
        <w:pPr>
          <w:pStyle w:val="Footer"/>
          <w:jc w:val="center"/>
        </w:pPr>
        <w:r>
          <w:fldChar w:fldCharType="begin"/>
        </w:r>
        <w:r w:rsidR="00C90387">
          <w:instrText xml:space="preserve"> PAGE   \* MERGEFORMAT </w:instrText>
        </w:r>
        <w:r>
          <w:fldChar w:fldCharType="separate"/>
        </w:r>
        <w:r w:rsidR="00DB3740">
          <w:rPr>
            <w:noProof/>
          </w:rPr>
          <w:t>1</w:t>
        </w:r>
        <w:r>
          <w:rPr>
            <w:noProof/>
          </w:rPr>
          <w:fldChar w:fldCharType="end"/>
        </w:r>
      </w:p>
    </w:sdtContent>
  </w:sdt>
  <w:p w:rsidR="00C90387" w:rsidRDefault="00B70823" w:rsidP="00C90387">
    <w:pPr>
      <w:pStyle w:val="Footer"/>
      <w:jc w:val="center"/>
    </w:pPr>
    <w:r>
      <w:t>Parliamentary Question</w:t>
    </w:r>
    <w:r w:rsidR="00020570">
      <w:t>: NA PQ 1746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40" w:rsidRDefault="00DB3740" w:rsidP="006D054B">
      <w:pPr>
        <w:spacing w:after="0" w:line="240" w:lineRule="auto"/>
      </w:pPr>
      <w:r>
        <w:separator/>
      </w:r>
    </w:p>
  </w:footnote>
  <w:footnote w:type="continuationSeparator" w:id="0">
    <w:p w:rsidR="00DB3740" w:rsidRDefault="00DB3740"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A0783"/>
    <w:multiLevelType w:val="hybridMultilevel"/>
    <w:tmpl w:val="DF988DBA"/>
    <w:lvl w:ilvl="0" w:tplc="59407278">
      <w:start w:val="4"/>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67EA3"/>
    <w:multiLevelType w:val="hybridMultilevel"/>
    <w:tmpl w:val="0A2C7B34"/>
    <w:lvl w:ilvl="0" w:tplc="A0D492FA">
      <w:start w:val="4"/>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4"/>
  </w:num>
  <w:num w:numId="8">
    <w:abstractNumId w:val="21"/>
  </w:num>
  <w:num w:numId="9">
    <w:abstractNumId w:val="16"/>
  </w:num>
  <w:num w:numId="10">
    <w:abstractNumId w:val="0"/>
  </w:num>
  <w:num w:numId="11">
    <w:abstractNumId w:val="12"/>
  </w:num>
  <w:num w:numId="12">
    <w:abstractNumId w:val="18"/>
  </w:num>
  <w:num w:numId="13">
    <w:abstractNumId w:val="25"/>
  </w:num>
  <w:num w:numId="14">
    <w:abstractNumId w:val="10"/>
  </w:num>
  <w:num w:numId="15">
    <w:abstractNumId w:val="2"/>
  </w:num>
  <w:num w:numId="16">
    <w:abstractNumId w:val="11"/>
  </w:num>
  <w:num w:numId="17">
    <w:abstractNumId w:val="20"/>
  </w:num>
  <w:num w:numId="18">
    <w:abstractNumId w:val="14"/>
  </w:num>
  <w:num w:numId="19">
    <w:abstractNumId w:val="19"/>
  </w:num>
  <w:num w:numId="20">
    <w:abstractNumId w:val="1"/>
  </w:num>
  <w:num w:numId="21">
    <w:abstractNumId w:val="22"/>
  </w:num>
  <w:num w:numId="22">
    <w:abstractNumId w:val="9"/>
  </w:num>
  <w:num w:numId="23">
    <w:abstractNumId w:val="13"/>
  </w:num>
  <w:num w:numId="24">
    <w:abstractNumId w:val="7"/>
  </w:num>
  <w:num w:numId="25">
    <w:abstractNumId w:val="8"/>
  </w:num>
  <w:num w:numId="26">
    <w:abstractNumId w:val="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16351"/>
    <w:rsid w:val="00006948"/>
    <w:rsid w:val="000077EE"/>
    <w:rsid w:val="00020570"/>
    <w:rsid w:val="0003191E"/>
    <w:rsid w:val="00031D1F"/>
    <w:rsid w:val="00041805"/>
    <w:rsid w:val="00046D78"/>
    <w:rsid w:val="0006536D"/>
    <w:rsid w:val="00071E10"/>
    <w:rsid w:val="000926F9"/>
    <w:rsid w:val="000B0517"/>
    <w:rsid w:val="000B2DB1"/>
    <w:rsid w:val="000C2BDF"/>
    <w:rsid w:val="000C4638"/>
    <w:rsid w:val="000D3BB4"/>
    <w:rsid w:val="000D608B"/>
    <w:rsid w:val="000E6D6D"/>
    <w:rsid w:val="0011219B"/>
    <w:rsid w:val="00130895"/>
    <w:rsid w:val="0016019E"/>
    <w:rsid w:val="001602E3"/>
    <w:rsid w:val="00172E12"/>
    <w:rsid w:val="00176749"/>
    <w:rsid w:val="00182352"/>
    <w:rsid w:val="001877AA"/>
    <w:rsid w:val="0019258D"/>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2F01E3"/>
    <w:rsid w:val="00301F58"/>
    <w:rsid w:val="0031644A"/>
    <w:rsid w:val="00332C21"/>
    <w:rsid w:val="00351BDA"/>
    <w:rsid w:val="003525FB"/>
    <w:rsid w:val="00352B09"/>
    <w:rsid w:val="00361FC6"/>
    <w:rsid w:val="003632E6"/>
    <w:rsid w:val="00383F6C"/>
    <w:rsid w:val="00385BF1"/>
    <w:rsid w:val="0038692B"/>
    <w:rsid w:val="003A3726"/>
    <w:rsid w:val="003B2450"/>
    <w:rsid w:val="003B54CC"/>
    <w:rsid w:val="003C5DAD"/>
    <w:rsid w:val="003D6475"/>
    <w:rsid w:val="00402C36"/>
    <w:rsid w:val="00405055"/>
    <w:rsid w:val="00406E2A"/>
    <w:rsid w:val="00414059"/>
    <w:rsid w:val="00414E30"/>
    <w:rsid w:val="00431C51"/>
    <w:rsid w:val="00437E8B"/>
    <w:rsid w:val="004469F4"/>
    <w:rsid w:val="00465143"/>
    <w:rsid w:val="00484CF4"/>
    <w:rsid w:val="00493614"/>
    <w:rsid w:val="004B2BE0"/>
    <w:rsid w:val="004C432F"/>
    <w:rsid w:val="004D0F02"/>
    <w:rsid w:val="004D5356"/>
    <w:rsid w:val="004E2E71"/>
    <w:rsid w:val="004F429F"/>
    <w:rsid w:val="004F6E62"/>
    <w:rsid w:val="00500116"/>
    <w:rsid w:val="0051724E"/>
    <w:rsid w:val="00522CB2"/>
    <w:rsid w:val="00526B52"/>
    <w:rsid w:val="00532838"/>
    <w:rsid w:val="005401FB"/>
    <w:rsid w:val="00546254"/>
    <w:rsid w:val="0054791A"/>
    <w:rsid w:val="005624DD"/>
    <w:rsid w:val="00567F57"/>
    <w:rsid w:val="00575A3A"/>
    <w:rsid w:val="00575A76"/>
    <w:rsid w:val="00597203"/>
    <w:rsid w:val="005A5FEE"/>
    <w:rsid w:val="005C3727"/>
    <w:rsid w:val="005D3B6A"/>
    <w:rsid w:val="005E30FD"/>
    <w:rsid w:val="00622A03"/>
    <w:rsid w:val="00640078"/>
    <w:rsid w:val="006420D0"/>
    <w:rsid w:val="006445D1"/>
    <w:rsid w:val="00645F45"/>
    <w:rsid w:val="006847A1"/>
    <w:rsid w:val="006932B2"/>
    <w:rsid w:val="00694349"/>
    <w:rsid w:val="006B0FE2"/>
    <w:rsid w:val="006B1132"/>
    <w:rsid w:val="006C48E9"/>
    <w:rsid w:val="006C6F31"/>
    <w:rsid w:val="006D054B"/>
    <w:rsid w:val="006E5CFB"/>
    <w:rsid w:val="00707C88"/>
    <w:rsid w:val="0072078E"/>
    <w:rsid w:val="007477F1"/>
    <w:rsid w:val="00761225"/>
    <w:rsid w:val="0078637F"/>
    <w:rsid w:val="00792751"/>
    <w:rsid w:val="007B14C3"/>
    <w:rsid w:val="007B412F"/>
    <w:rsid w:val="007B66FF"/>
    <w:rsid w:val="007B7DA8"/>
    <w:rsid w:val="007C2300"/>
    <w:rsid w:val="007D1596"/>
    <w:rsid w:val="007D1D58"/>
    <w:rsid w:val="007D2A4F"/>
    <w:rsid w:val="00803209"/>
    <w:rsid w:val="00833E81"/>
    <w:rsid w:val="00841350"/>
    <w:rsid w:val="008528EA"/>
    <w:rsid w:val="00853BDC"/>
    <w:rsid w:val="00854A22"/>
    <w:rsid w:val="00855ABA"/>
    <w:rsid w:val="00857F02"/>
    <w:rsid w:val="008634FA"/>
    <w:rsid w:val="00892467"/>
    <w:rsid w:val="00894F69"/>
    <w:rsid w:val="008A796E"/>
    <w:rsid w:val="008C4696"/>
    <w:rsid w:val="008D06C0"/>
    <w:rsid w:val="00911828"/>
    <w:rsid w:val="00916351"/>
    <w:rsid w:val="0093226B"/>
    <w:rsid w:val="00936D98"/>
    <w:rsid w:val="009433BE"/>
    <w:rsid w:val="0094388C"/>
    <w:rsid w:val="00962887"/>
    <w:rsid w:val="00962A53"/>
    <w:rsid w:val="009644E4"/>
    <w:rsid w:val="00970287"/>
    <w:rsid w:val="0099215A"/>
    <w:rsid w:val="009A0FF0"/>
    <w:rsid w:val="009C3E7C"/>
    <w:rsid w:val="009D6756"/>
    <w:rsid w:val="009D6C77"/>
    <w:rsid w:val="009F3102"/>
    <w:rsid w:val="009F4DA1"/>
    <w:rsid w:val="00A01A30"/>
    <w:rsid w:val="00A04BE9"/>
    <w:rsid w:val="00A1169C"/>
    <w:rsid w:val="00A16D45"/>
    <w:rsid w:val="00A1795F"/>
    <w:rsid w:val="00A21156"/>
    <w:rsid w:val="00A46E81"/>
    <w:rsid w:val="00A557B1"/>
    <w:rsid w:val="00A81AFD"/>
    <w:rsid w:val="00A8329E"/>
    <w:rsid w:val="00A84F6F"/>
    <w:rsid w:val="00A922E1"/>
    <w:rsid w:val="00A94383"/>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8C4"/>
    <w:rsid w:val="00B61B07"/>
    <w:rsid w:val="00B66060"/>
    <w:rsid w:val="00B66578"/>
    <w:rsid w:val="00B70823"/>
    <w:rsid w:val="00B77AE5"/>
    <w:rsid w:val="00B9157F"/>
    <w:rsid w:val="00B97217"/>
    <w:rsid w:val="00BA3106"/>
    <w:rsid w:val="00BA3DD8"/>
    <w:rsid w:val="00BB36A7"/>
    <w:rsid w:val="00BB3DD6"/>
    <w:rsid w:val="00BB497F"/>
    <w:rsid w:val="00BB62D5"/>
    <w:rsid w:val="00BC607B"/>
    <w:rsid w:val="00C02FFC"/>
    <w:rsid w:val="00C0398D"/>
    <w:rsid w:val="00C05717"/>
    <w:rsid w:val="00C07922"/>
    <w:rsid w:val="00C1754E"/>
    <w:rsid w:val="00C23C1E"/>
    <w:rsid w:val="00C248C7"/>
    <w:rsid w:val="00C26949"/>
    <w:rsid w:val="00C32891"/>
    <w:rsid w:val="00C4613A"/>
    <w:rsid w:val="00C56886"/>
    <w:rsid w:val="00C60F52"/>
    <w:rsid w:val="00C71BF9"/>
    <w:rsid w:val="00C84F7E"/>
    <w:rsid w:val="00C8544C"/>
    <w:rsid w:val="00C85DD8"/>
    <w:rsid w:val="00C90387"/>
    <w:rsid w:val="00C9270E"/>
    <w:rsid w:val="00CA5FAD"/>
    <w:rsid w:val="00CC0725"/>
    <w:rsid w:val="00CC7044"/>
    <w:rsid w:val="00D01975"/>
    <w:rsid w:val="00D05AC9"/>
    <w:rsid w:val="00D3539F"/>
    <w:rsid w:val="00D37942"/>
    <w:rsid w:val="00D410C1"/>
    <w:rsid w:val="00D462DD"/>
    <w:rsid w:val="00D52868"/>
    <w:rsid w:val="00D66290"/>
    <w:rsid w:val="00D722D0"/>
    <w:rsid w:val="00D75E12"/>
    <w:rsid w:val="00D81223"/>
    <w:rsid w:val="00D906CA"/>
    <w:rsid w:val="00D93514"/>
    <w:rsid w:val="00D93BDC"/>
    <w:rsid w:val="00D95D80"/>
    <w:rsid w:val="00D97348"/>
    <w:rsid w:val="00DB3740"/>
    <w:rsid w:val="00DD063F"/>
    <w:rsid w:val="00DD60A6"/>
    <w:rsid w:val="00DE45A5"/>
    <w:rsid w:val="00DE4BB9"/>
    <w:rsid w:val="00DF6BAC"/>
    <w:rsid w:val="00E44BAD"/>
    <w:rsid w:val="00E546AB"/>
    <w:rsid w:val="00E5541E"/>
    <w:rsid w:val="00E554C9"/>
    <w:rsid w:val="00E6096E"/>
    <w:rsid w:val="00E846E6"/>
    <w:rsid w:val="00E900D5"/>
    <w:rsid w:val="00EA2BA8"/>
    <w:rsid w:val="00EA5109"/>
    <w:rsid w:val="00EA6E2E"/>
    <w:rsid w:val="00EE05BB"/>
    <w:rsid w:val="00EE6E0C"/>
    <w:rsid w:val="00EF6351"/>
    <w:rsid w:val="00F04A3B"/>
    <w:rsid w:val="00F065DF"/>
    <w:rsid w:val="00F15796"/>
    <w:rsid w:val="00F32232"/>
    <w:rsid w:val="00F3392B"/>
    <w:rsid w:val="00F51CB8"/>
    <w:rsid w:val="00F55E3D"/>
    <w:rsid w:val="00F671DD"/>
    <w:rsid w:val="00F716B6"/>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36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78341">
      <w:bodyDiv w:val="1"/>
      <w:marLeft w:val="0"/>
      <w:marRight w:val="0"/>
      <w:marTop w:val="0"/>
      <w:marBottom w:val="0"/>
      <w:divBdr>
        <w:top w:val="none" w:sz="0" w:space="0" w:color="auto"/>
        <w:left w:val="none" w:sz="0" w:space="0" w:color="auto"/>
        <w:bottom w:val="none" w:sz="0" w:space="0" w:color="auto"/>
        <w:right w:val="none" w:sz="0" w:space="0" w:color="auto"/>
      </w:divBdr>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27305276">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8580-76B9-4FBE-862C-731CC46A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2023-05-16T14:20:00Z</cp:lastPrinted>
  <dcterms:created xsi:type="dcterms:W3CDTF">2023-06-21T10:14:00Z</dcterms:created>
  <dcterms:modified xsi:type="dcterms:W3CDTF">2023-06-21T10:14:00Z</dcterms:modified>
</cp:coreProperties>
</file>