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2C19B7" w:rsidRDefault="00CE323E" w:rsidP="002C0C6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C19B7">
        <w:rPr>
          <w:rFonts w:ascii="Arial" w:hAnsi="Arial" w:cs="Arial"/>
          <w:noProof/>
          <w:color w:val="000000" w:themeColor="text1"/>
          <w:sz w:val="24"/>
          <w:szCs w:val="24"/>
          <w:lang w:val="en-ZA" w:eastAsia="en-ZA"/>
        </w:rPr>
        <w:drawing>
          <wp:inline distT="0" distB="0" distL="0" distR="0" wp14:anchorId="0A7C3C0D" wp14:editId="5B18811C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C19B7" w:rsidRDefault="00C3677B" w:rsidP="002C0C62">
      <w:pPr>
        <w:spacing w:after="120" w:line="240" w:lineRule="auto"/>
        <w:jc w:val="center"/>
        <w:rPr>
          <w:rFonts w:ascii="Arial" w:hAnsi="Arial" w:cs="Arial"/>
          <w:color w:val="000000" w:themeColor="text1"/>
          <w:sz w:val="20"/>
          <w:szCs w:val="24"/>
        </w:rPr>
      </w:pPr>
      <w:r w:rsidRPr="002C19B7">
        <w:rPr>
          <w:rFonts w:ascii="Arial" w:hAnsi="Arial" w:cs="Arial"/>
          <w:color w:val="000000" w:themeColor="text1"/>
          <w:sz w:val="20"/>
          <w:szCs w:val="24"/>
        </w:rPr>
        <w:t>Private Bag X893, Pretoria, 0001, Tel (012) 312 5555, Fax (012) 323 5618</w:t>
      </w:r>
    </w:p>
    <w:p w:rsidR="006B438D" w:rsidRPr="002C19B7" w:rsidRDefault="00C3677B" w:rsidP="002C0C62">
      <w:pPr>
        <w:spacing w:after="120" w:line="240" w:lineRule="auto"/>
        <w:jc w:val="center"/>
        <w:rPr>
          <w:rFonts w:ascii="Arial" w:hAnsi="Arial" w:cs="Arial"/>
          <w:color w:val="000000" w:themeColor="text1"/>
          <w:sz w:val="20"/>
          <w:szCs w:val="24"/>
        </w:rPr>
      </w:pPr>
      <w:r w:rsidRPr="002C19B7">
        <w:rPr>
          <w:rFonts w:ascii="Arial" w:hAnsi="Arial" w:cs="Arial"/>
          <w:color w:val="000000" w:themeColor="text1"/>
          <w:sz w:val="20"/>
          <w:szCs w:val="24"/>
        </w:rPr>
        <w:t>Private Bag X9192, Cape Town, 8000, Tel (021) 46</w:t>
      </w:r>
      <w:r w:rsidR="00EA2661" w:rsidRPr="002C19B7">
        <w:rPr>
          <w:rFonts w:ascii="Arial" w:hAnsi="Arial" w:cs="Arial"/>
          <w:color w:val="000000" w:themeColor="text1"/>
          <w:sz w:val="20"/>
          <w:szCs w:val="24"/>
        </w:rPr>
        <w:t>9</w:t>
      </w:r>
      <w:r w:rsidRPr="002C19B7">
        <w:rPr>
          <w:rFonts w:ascii="Arial" w:hAnsi="Arial" w:cs="Arial"/>
          <w:color w:val="000000" w:themeColor="text1"/>
          <w:sz w:val="20"/>
          <w:szCs w:val="24"/>
        </w:rPr>
        <w:t xml:space="preserve"> 5</w:t>
      </w:r>
      <w:r w:rsidR="00EA2661" w:rsidRPr="002C19B7">
        <w:rPr>
          <w:rFonts w:ascii="Arial" w:hAnsi="Arial" w:cs="Arial"/>
          <w:color w:val="000000" w:themeColor="text1"/>
          <w:sz w:val="20"/>
          <w:szCs w:val="24"/>
        </w:rPr>
        <w:t>150</w:t>
      </w:r>
      <w:r w:rsidRPr="002C19B7">
        <w:rPr>
          <w:rFonts w:ascii="Arial" w:hAnsi="Arial" w:cs="Arial"/>
          <w:color w:val="000000" w:themeColor="text1"/>
          <w:sz w:val="20"/>
          <w:szCs w:val="24"/>
        </w:rPr>
        <w:t>, Fax: (021) 465 7956</w:t>
      </w:r>
    </w:p>
    <w:p w:rsidR="00C3677B" w:rsidRPr="002C19B7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19B7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ab/>
        <w:t>Memorandum from the Parliamentary Office</w:t>
      </w:r>
    </w:p>
    <w:p w:rsidR="001915DA" w:rsidRPr="002C19B7" w:rsidRDefault="001915DA" w:rsidP="00AC5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</w:pPr>
      <w:r w:rsidRPr="002C19B7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 xml:space="preserve">NATIONAL ASSEMBLY </w:t>
      </w:r>
    </w:p>
    <w:p w:rsidR="00C3677B" w:rsidRPr="002C19B7" w:rsidRDefault="00C3677B" w:rsidP="00AC5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</w:pPr>
      <w:r w:rsidRPr="002C19B7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 xml:space="preserve">FOR </w:t>
      </w:r>
      <w:r w:rsidR="00AA246C" w:rsidRPr="002C19B7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>WRITTEN</w:t>
      </w:r>
      <w:r w:rsidRPr="002C19B7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 xml:space="preserve"> REPLY</w:t>
      </w:r>
    </w:p>
    <w:p w:rsidR="00C3677B" w:rsidRPr="002C19B7" w:rsidRDefault="00C654A2" w:rsidP="00AC5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</w:pPr>
      <w:r w:rsidRPr="002C19B7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 xml:space="preserve">QUESTION </w:t>
      </w:r>
      <w:r w:rsidR="00E7548B" w:rsidRPr="002C19B7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>1745</w:t>
      </w:r>
    </w:p>
    <w:p w:rsidR="00C3677B" w:rsidRPr="002C19B7" w:rsidRDefault="00C3677B" w:rsidP="00AC588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</w:pPr>
      <w:r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DATE OF PUBLICATIO</w:t>
      </w:r>
      <w:r w:rsidR="009B0E09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 xml:space="preserve">N OF INTERNAL QUESTION PAPER: </w:t>
      </w:r>
      <w:r w:rsidR="009F1766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01</w:t>
      </w:r>
      <w:r w:rsidR="00CB1096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/</w:t>
      </w:r>
      <w:r w:rsidR="009F1766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06</w:t>
      </w:r>
      <w:r w:rsidR="00CB1096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/</w:t>
      </w:r>
      <w:r w:rsidR="00F73D24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201</w:t>
      </w:r>
      <w:r w:rsidR="002C0C62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8</w:t>
      </w:r>
    </w:p>
    <w:p w:rsidR="00F177A6" w:rsidRPr="002C19B7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</w:pPr>
      <w:r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 xml:space="preserve">(INTERNAL QUESTION PAPER </w:t>
      </w:r>
      <w:r w:rsidR="002C0C62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 xml:space="preserve">NO </w:t>
      </w:r>
      <w:r w:rsidR="009F1766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19</w:t>
      </w:r>
      <w:r w:rsidR="008A5D41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 xml:space="preserve"> </w:t>
      </w:r>
      <w:r w:rsidR="00F73D24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OF 201</w:t>
      </w:r>
      <w:r w:rsidR="002C0C62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8</w:t>
      </w:r>
      <w:r w:rsidR="00E02103" w:rsidRPr="002C19B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ZA"/>
        </w:rPr>
        <w:t>)</w:t>
      </w:r>
    </w:p>
    <w:p w:rsidR="00706CA8" w:rsidRPr="002C19B7" w:rsidRDefault="007429EF" w:rsidP="00DA48EA">
      <w:pPr>
        <w:spacing w:after="120" w:line="36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</w:pPr>
      <w:r w:rsidRPr="002C19B7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 xml:space="preserve">Mr A P van der Westhuizen (DA) </w:t>
      </w:r>
      <w:r w:rsidR="002A76BD" w:rsidRPr="002C19B7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>to ask the Minister of Higher Education and Training:</w:t>
      </w:r>
    </w:p>
    <w:p w:rsidR="004A373A" w:rsidRPr="002C19B7" w:rsidRDefault="004A373A" w:rsidP="004A373A">
      <w:pPr>
        <w:spacing w:after="120" w:line="360" w:lineRule="auto"/>
        <w:ind w:left="567" w:hanging="567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(1)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ab/>
      </w:r>
      <w:r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With reference to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each public technical and vocational education and training (TVET) college, what maximum number of students, under optimum conditions, can </w:t>
      </w:r>
      <w:r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be accommodated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in student residences under the control of the relevant public TVET </w:t>
      </w:r>
      <w:proofErr w:type="gramStart"/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college</w:t>
      </w:r>
      <w:proofErr w:type="gramEnd"/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;</w:t>
      </w:r>
    </w:p>
    <w:p w:rsidR="004A373A" w:rsidRPr="002C19B7" w:rsidRDefault="004A373A" w:rsidP="004A373A">
      <w:pPr>
        <w:spacing w:after="120" w:line="360" w:lineRule="auto"/>
        <w:ind w:left="567" w:hanging="567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(2)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ab/>
      </w:r>
      <w:proofErr w:type="gramStart"/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what</w:t>
      </w:r>
      <w:proofErr w:type="gramEnd"/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number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of students have </w:t>
      </w:r>
      <w:r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been accommodated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during the first quarter or trimester of 2018 in student residences under the control of each relevant public TVET college;</w:t>
      </w:r>
    </w:p>
    <w:p w:rsidR="004A373A" w:rsidRPr="002C19B7" w:rsidRDefault="004A373A" w:rsidP="004A373A">
      <w:pPr>
        <w:spacing w:after="120" w:line="360" w:lineRule="auto"/>
        <w:ind w:left="567" w:hanging="567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(3)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ab/>
      </w:r>
      <w:proofErr w:type="gramStart"/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what</w:t>
      </w:r>
      <w:proofErr w:type="gramEnd"/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number of beds have been unoccupied due to (a) vandalism or lack of maintenance funds, (b) colleges lacking student numbers to </w:t>
      </w:r>
      <w:r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be at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theoretically maximum </w:t>
      </w:r>
      <w:r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numbers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, (c) financial limitations in bursaries available for </w:t>
      </w:r>
      <w:r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poor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students and (d) other factors leading to underutilisation of student accommodation?</w:t>
      </w:r>
    </w:p>
    <w:p w:rsidR="004A373A" w:rsidRPr="002C19B7" w:rsidRDefault="004A373A" w:rsidP="004A373A">
      <w:pPr>
        <w:pStyle w:val="ListParagraph"/>
        <w:spacing w:after="120" w:line="360" w:lineRule="auto"/>
        <w:ind w:left="0"/>
        <w:jc w:val="right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C19B7">
        <w:rPr>
          <w:rFonts w:ascii="Arial" w:hAnsi="Arial" w:cs="Arial"/>
          <w:b/>
          <w:color w:val="000000" w:themeColor="text1"/>
          <w:sz w:val="24"/>
          <w:szCs w:val="24"/>
        </w:rPr>
        <w:t>NW1902E</w:t>
      </w:r>
    </w:p>
    <w:p w:rsidR="00161D42" w:rsidRPr="002C19B7" w:rsidRDefault="00161D42" w:rsidP="00161D42">
      <w:pPr>
        <w:spacing w:after="24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19B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REPLY:</w:t>
      </w:r>
    </w:p>
    <w:p w:rsidR="00161D42" w:rsidRPr="002C19B7" w:rsidRDefault="0027606F" w:rsidP="00887F2A">
      <w:pPr>
        <w:pStyle w:val="ListParagraph"/>
        <w:numPr>
          <w:ilvl w:val="0"/>
          <w:numId w:val="25"/>
        </w:numPr>
        <w:spacing w:after="240" w:line="360" w:lineRule="auto"/>
        <w:ind w:hanging="570"/>
        <w:contextualSpacing w:val="0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The maximum number of students that can </w:t>
      </w:r>
      <w:r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be accommodated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in student residences under the control of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>p</w:t>
      </w:r>
      <w:r w:rsidR="00161D42" w:rsidRPr="002C19B7">
        <w:rPr>
          <w:rFonts w:ascii="Arial" w:eastAsia="Cambria" w:hAnsi="Arial" w:cs="Arial"/>
          <w:color w:val="000000" w:themeColor="text1"/>
          <w:sz w:val="24"/>
          <w:szCs w:val="24"/>
        </w:rPr>
        <w:t>ublic Technical and Vocational Education and Training (TVET) college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>s</w:t>
      </w:r>
      <w:r w:rsidR="003C2311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is</w:t>
      </w:r>
      <w:r w:rsidR="003C2311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>18 574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.</w:t>
      </w:r>
      <w:r w:rsidR="003C2311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</w:p>
    <w:p w:rsidR="00585D58" w:rsidRPr="002C19B7" w:rsidRDefault="0027606F" w:rsidP="00887F2A">
      <w:pPr>
        <w:pStyle w:val="ListParagraph"/>
        <w:numPr>
          <w:ilvl w:val="0"/>
          <w:numId w:val="25"/>
        </w:numPr>
        <w:spacing w:after="240" w:line="360" w:lineRule="auto"/>
        <w:ind w:hanging="570"/>
        <w:contextualSpacing w:val="0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1</w:t>
      </w:r>
      <w:r w:rsidR="006B0ABE" w:rsidRPr="002C19B7">
        <w:rPr>
          <w:rFonts w:ascii="Arial" w:eastAsia="Cambria" w:hAnsi="Arial" w:cs="Arial"/>
          <w:color w:val="000000" w:themeColor="text1"/>
          <w:sz w:val="24"/>
          <w:szCs w:val="24"/>
        </w:rPr>
        <w:t>6 4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>67</w:t>
      </w:r>
      <w:r w:rsidR="00727ED8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>S</w:t>
      </w:r>
      <w:r w:rsidR="00585D58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tudents </w:t>
      </w:r>
      <w:r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were</w:t>
      </w:r>
      <w:r w:rsidR="00585D58"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 xml:space="preserve"> accommodated</w:t>
      </w:r>
      <w:r w:rsidR="00585D58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during the first quarter or trimester of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 xml:space="preserve">the </w:t>
      </w:r>
      <w:r w:rsidR="00585D58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2018 </w:t>
      </w:r>
      <w:r w:rsidR="00E9080C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academic year </w:t>
      </w:r>
      <w:r w:rsidR="00585D58" w:rsidRPr="002C19B7">
        <w:rPr>
          <w:rFonts w:ascii="Arial" w:eastAsia="Cambria" w:hAnsi="Arial" w:cs="Arial"/>
          <w:color w:val="000000" w:themeColor="text1"/>
          <w:sz w:val="24"/>
          <w:szCs w:val="24"/>
        </w:rPr>
        <w:t>in student residences</w:t>
      </w:r>
      <w:r w:rsidR="00E9080C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, i.e. 6 </w:t>
      </w:r>
      <w:r w:rsidR="00727ED8" w:rsidRPr="002C19B7">
        <w:rPr>
          <w:rFonts w:ascii="Arial" w:eastAsia="Cambria" w:hAnsi="Arial" w:cs="Arial"/>
          <w:color w:val="000000" w:themeColor="text1"/>
          <w:sz w:val="24"/>
          <w:szCs w:val="24"/>
        </w:rPr>
        <w:t>821 N</w:t>
      </w:r>
      <w:r w:rsidR="003137DC">
        <w:rPr>
          <w:rFonts w:ascii="Arial" w:eastAsia="Cambria" w:hAnsi="Arial" w:cs="Arial"/>
          <w:color w:val="000000" w:themeColor="text1"/>
          <w:sz w:val="24"/>
          <w:szCs w:val="24"/>
        </w:rPr>
        <w:t xml:space="preserve">ational </w:t>
      </w:r>
      <w:r w:rsidR="00727ED8" w:rsidRPr="002C19B7">
        <w:rPr>
          <w:rFonts w:ascii="Arial" w:eastAsia="Cambria" w:hAnsi="Arial" w:cs="Arial"/>
          <w:color w:val="000000" w:themeColor="text1"/>
          <w:sz w:val="24"/>
          <w:szCs w:val="24"/>
        </w:rPr>
        <w:t>C</w:t>
      </w:r>
      <w:r w:rsidR="003137DC">
        <w:rPr>
          <w:rFonts w:ascii="Arial" w:eastAsia="Cambria" w:hAnsi="Arial" w:cs="Arial"/>
          <w:color w:val="000000" w:themeColor="text1"/>
          <w:sz w:val="24"/>
          <w:szCs w:val="24"/>
        </w:rPr>
        <w:t xml:space="preserve">ertificate </w:t>
      </w:r>
      <w:r w:rsidR="00727ED8" w:rsidRPr="002C19B7">
        <w:rPr>
          <w:rFonts w:ascii="Arial" w:eastAsia="Cambria" w:hAnsi="Arial" w:cs="Arial"/>
          <w:color w:val="000000" w:themeColor="text1"/>
          <w:sz w:val="24"/>
          <w:szCs w:val="24"/>
        </w:rPr>
        <w:t>(V</w:t>
      </w:r>
      <w:r w:rsidR="003137DC">
        <w:rPr>
          <w:rFonts w:ascii="Arial" w:eastAsia="Cambria" w:hAnsi="Arial" w:cs="Arial"/>
          <w:color w:val="000000" w:themeColor="text1"/>
          <w:sz w:val="24"/>
          <w:szCs w:val="24"/>
        </w:rPr>
        <w:t>ocational</w:t>
      </w:r>
      <w:r w:rsidR="00727ED8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) and </w:t>
      </w:r>
      <w:r w:rsidR="00E9080C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9 </w:t>
      </w:r>
      <w:r w:rsidR="008366BF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646 </w:t>
      </w:r>
      <w:r w:rsidR="00727ED8" w:rsidRPr="002C19B7">
        <w:rPr>
          <w:rFonts w:ascii="Arial" w:eastAsia="Cambria" w:hAnsi="Arial" w:cs="Arial"/>
          <w:color w:val="000000" w:themeColor="text1"/>
          <w:sz w:val="24"/>
          <w:szCs w:val="24"/>
        </w:rPr>
        <w:t>Report 191 students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:rsidR="00955B8C" w:rsidRPr="002C19B7" w:rsidRDefault="006B0ABE" w:rsidP="00887F2A">
      <w:pPr>
        <w:pStyle w:val="ListParagraph"/>
        <w:numPr>
          <w:ilvl w:val="0"/>
          <w:numId w:val="25"/>
        </w:numPr>
        <w:spacing w:after="240" w:line="360" w:lineRule="auto"/>
        <w:ind w:hanging="570"/>
        <w:contextualSpacing w:val="0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There are 2 107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632AF4" w:rsidRPr="00793056">
        <w:rPr>
          <w:rFonts w:ascii="Arial" w:eastAsia="Cambria" w:hAnsi="Arial" w:cs="Arial"/>
          <w:noProof/>
          <w:color w:val="000000" w:themeColor="text1"/>
          <w:sz w:val="24"/>
          <w:szCs w:val="24"/>
        </w:rPr>
        <w:t>unoccupied</w:t>
      </w:r>
      <w:r w:rsidR="00990613">
        <w:rPr>
          <w:rFonts w:ascii="Arial" w:eastAsia="Cambria" w:hAnsi="Arial" w:cs="Arial"/>
          <w:color w:val="000000" w:themeColor="text1"/>
          <w:sz w:val="24"/>
          <w:szCs w:val="24"/>
        </w:rPr>
        <w:t xml:space="preserve"> beds in college residenc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>es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 xml:space="preserve"> of which 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352 </w:t>
      </w:r>
      <w:r w:rsidR="00AF0A1E" w:rsidRPr="002C19B7">
        <w:rPr>
          <w:rFonts w:ascii="Arial" w:eastAsia="Cambria" w:hAnsi="Arial" w:cs="Arial"/>
          <w:color w:val="000000" w:themeColor="text1"/>
          <w:sz w:val="24"/>
          <w:szCs w:val="24"/>
        </w:rPr>
        <w:t>we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>re due to vandalism</w:t>
      </w:r>
      <w:r w:rsidR="00AF0A1E" w:rsidRPr="002C19B7">
        <w:rPr>
          <w:rFonts w:ascii="Arial" w:eastAsia="Cambria" w:hAnsi="Arial" w:cs="Arial"/>
          <w:color w:val="000000" w:themeColor="text1"/>
          <w:sz w:val="24"/>
          <w:szCs w:val="24"/>
        </w:rPr>
        <w:t>,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814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 xml:space="preserve">were 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due to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 xml:space="preserve">a 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>lack of maintenance</w:t>
      </w:r>
      <w:r w:rsidR="0069372B" w:rsidRPr="002C19B7">
        <w:rPr>
          <w:rFonts w:ascii="Arial" w:eastAsia="Cambria" w:hAnsi="Arial" w:cs="Arial"/>
          <w:color w:val="000000" w:themeColor="text1"/>
          <w:sz w:val="24"/>
          <w:szCs w:val="24"/>
        </w:rPr>
        <w:t>,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AF0A1E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and the remaining 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941</w:t>
      </w:r>
      <w:r w:rsidR="00AF0A1E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were </w:t>
      </w:r>
      <w:r w:rsidR="00632AF4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due to </w:t>
      </w:r>
      <w:r w:rsidR="00AF0A1E" w:rsidRPr="002C19B7">
        <w:rPr>
          <w:rFonts w:ascii="Arial" w:eastAsia="Cambria" w:hAnsi="Arial" w:cs="Arial"/>
          <w:color w:val="000000" w:themeColor="text1"/>
          <w:sz w:val="24"/>
          <w:szCs w:val="24"/>
        </w:rPr>
        <w:t>refurbishments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A63437" w:rsidRPr="003137DC">
        <w:rPr>
          <w:rFonts w:ascii="Arial" w:eastAsia="Cambria" w:hAnsi="Arial" w:cs="Arial"/>
          <w:noProof/>
          <w:color w:val="000000" w:themeColor="text1"/>
          <w:sz w:val="24"/>
          <w:szCs w:val="24"/>
        </w:rPr>
        <w:t>being undertaken</w:t>
      </w:r>
      <w:r w:rsidR="00AF0A1E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. </w:t>
      </w:r>
    </w:p>
    <w:p w:rsidR="00E15BCB" w:rsidRPr="002C19B7" w:rsidRDefault="0002230F" w:rsidP="00887F2A">
      <w:pPr>
        <w:pStyle w:val="ListParagraph"/>
        <w:spacing w:after="240" w:line="360" w:lineRule="auto"/>
        <w:ind w:left="570"/>
        <w:contextualSpacing w:val="0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Reference to f</w:t>
      </w:r>
      <w:r w:rsidR="004860FE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actors such as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 xml:space="preserve">a </w:t>
      </w:r>
      <w:r w:rsidR="004860FE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shortage of students or financial limitations did not lead to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 xml:space="preserve">the </w:t>
      </w:r>
      <w:r w:rsidR="004860FE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underutilisation of student accommodation.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</w:rPr>
        <w:t>There are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sufficient </w:t>
      </w:r>
      <w:r w:rsidR="004860FE" w:rsidRPr="002C19B7">
        <w:rPr>
          <w:rFonts w:ascii="Arial" w:eastAsia="Cambria" w:hAnsi="Arial" w:cs="Arial"/>
          <w:color w:val="000000" w:themeColor="text1"/>
          <w:sz w:val="24"/>
          <w:szCs w:val="24"/>
        </w:rPr>
        <w:t>number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</w:rPr>
        <w:t>s</w:t>
      </w:r>
      <w:r w:rsidR="004860FE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 of students </w:t>
      </w:r>
      <w:r w:rsidR="000B771E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enrolled in TVET colleges </w:t>
      </w:r>
      <w:r w:rsidR="004860FE" w:rsidRPr="002C19B7">
        <w:rPr>
          <w:rFonts w:ascii="Arial" w:eastAsia="Cambria" w:hAnsi="Arial" w:cs="Arial"/>
          <w:color w:val="000000" w:themeColor="text1"/>
          <w:sz w:val="24"/>
          <w:szCs w:val="24"/>
        </w:rPr>
        <w:t>to fill student residences to capacity</w:t>
      </w:r>
      <w:r w:rsidR="000B771E" w:rsidRPr="002C19B7">
        <w:rPr>
          <w:rFonts w:ascii="Arial" w:eastAsia="Cambria" w:hAnsi="Arial" w:cs="Arial"/>
          <w:color w:val="000000" w:themeColor="text1"/>
          <w:sz w:val="24"/>
          <w:szCs w:val="24"/>
        </w:rPr>
        <w:t xml:space="preserve">. Furthermore, the increased bursary </w:t>
      </w:r>
      <w:r w:rsidR="00947FB4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allocation from R2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.</w:t>
      </w:r>
      <w:r w:rsidR="00947FB4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437 billion in 2017 to R5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.</w:t>
      </w:r>
      <w:r w:rsidR="00947FB4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164 billion in 2018</w:t>
      </w:r>
      <w:r w:rsidR="000B771E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 is adequate to support students with accommodation allowance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s</w:t>
      </w:r>
      <w:r w:rsidR="000B771E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 </w:t>
      </w:r>
      <w:r w:rsidR="000B771E" w:rsidRPr="003137DC">
        <w:rPr>
          <w:rFonts w:ascii="Arial" w:eastAsia="Cambria" w:hAnsi="Arial" w:cs="Arial"/>
          <w:noProof/>
          <w:color w:val="000000" w:themeColor="text1"/>
          <w:sz w:val="24"/>
          <w:szCs w:val="24"/>
          <w:lang w:val="en-US"/>
        </w:rPr>
        <w:t>to</w:t>
      </w:r>
      <w:r w:rsidR="000B771E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 fill student residences to capacity.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 Some colleges 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have found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that 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the maximum allocation of R21 000 per annum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is 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insufficient to accommodate students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with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in the</w:t>
      </w:r>
      <w:r w:rsidR="00982535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 college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s’</w:t>
      </w:r>
      <w:r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93056">
        <w:rPr>
          <w:rFonts w:ascii="Arial" w:eastAsia="Cambria" w:hAnsi="Arial" w:cs="Arial"/>
          <w:noProof/>
          <w:color w:val="000000" w:themeColor="text1"/>
          <w:sz w:val="24"/>
          <w:szCs w:val="24"/>
          <w:lang w:val="en-US"/>
        </w:rPr>
        <w:t>residences</w:t>
      </w:r>
      <w:r w:rsidR="00C71E9D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. This amount will </w:t>
      </w:r>
      <w:r w:rsidR="00C71E9D" w:rsidRPr="003137DC">
        <w:rPr>
          <w:rFonts w:ascii="Arial" w:eastAsia="Cambria" w:hAnsi="Arial" w:cs="Arial"/>
          <w:noProof/>
          <w:color w:val="000000" w:themeColor="text1"/>
          <w:sz w:val="24"/>
          <w:szCs w:val="24"/>
          <w:lang w:val="en-US"/>
        </w:rPr>
        <w:t>be reviewed</w:t>
      </w:r>
      <w:r w:rsidR="00C71E9D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 for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C71E9D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2019</w:t>
      </w:r>
      <w:r w:rsidR="003F6524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 academic year</w:t>
      </w:r>
      <w:r w:rsidR="00982535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 </w:t>
      </w:r>
      <w:r w:rsidR="00A6343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through a task team that has </w:t>
      </w:r>
      <w:r w:rsidR="00982535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been established to </w:t>
      </w:r>
      <w:r w:rsidR="0018151F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>make recommendations on the allocation of travel and accommodation allowances</w:t>
      </w:r>
      <w:r w:rsidR="00C71E9D" w:rsidRPr="002C19B7">
        <w:rPr>
          <w:rFonts w:ascii="Arial" w:eastAsia="Cambria" w:hAnsi="Arial" w:cs="Arial"/>
          <w:color w:val="000000" w:themeColor="text1"/>
          <w:sz w:val="24"/>
          <w:szCs w:val="24"/>
          <w:lang w:val="en-US"/>
        </w:rPr>
        <w:t xml:space="preserve">. </w:t>
      </w:r>
    </w:p>
    <w:p w:rsidR="000B771E" w:rsidRPr="00FD4A53" w:rsidRDefault="000B771E" w:rsidP="00FD4A5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0B771E" w:rsidRPr="00FD4A53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99C5858"/>
    <w:multiLevelType w:val="hybridMultilevel"/>
    <w:tmpl w:val="D93A1E72"/>
    <w:lvl w:ilvl="0" w:tplc="E63C1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12BC7"/>
    <w:multiLevelType w:val="hybridMultilevel"/>
    <w:tmpl w:val="6B8EAF00"/>
    <w:lvl w:ilvl="0" w:tplc="294A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6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2F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E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C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C8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2A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AC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49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83410D5"/>
    <w:multiLevelType w:val="hybridMultilevel"/>
    <w:tmpl w:val="FFECBF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D6E05"/>
    <w:multiLevelType w:val="hybridMultilevel"/>
    <w:tmpl w:val="7B7A873A"/>
    <w:lvl w:ilvl="0" w:tplc="E2F67532">
      <w:start w:val="1"/>
      <w:numFmt w:val="decimal"/>
      <w:lvlText w:val="(%1)"/>
      <w:lvlJc w:val="left"/>
      <w:pPr>
        <w:ind w:left="570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8060737"/>
    <w:multiLevelType w:val="hybridMultilevel"/>
    <w:tmpl w:val="DC28A66A"/>
    <w:lvl w:ilvl="0" w:tplc="1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9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4"/>
  </w:num>
  <w:num w:numId="5">
    <w:abstractNumId w:val="25"/>
  </w:num>
  <w:num w:numId="6">
    <w:abstractNumId w:val="18"/>
  </w:num>
  <w:num w:numId="7">
    <w:abstractNumId w:val="23"/>
  </w:num>
  <w:num w:numId="8">
    <w:abstractNumId w:val="17"/>
  </w:num>
  <w:num w:numId="9">
    <w:abstractNumId w:val="24"/>
  </w:num>
  <w:num w:numId="10">
    <w:abstractNumId w:val="8"/>
  </w:num>
  <w:num w:numId="11">
    <w:abstractNumId w:val="11"/>
  </w:num>
  <w:num w:numId="12">
    <w:abstractNumId w:val="2"/>
  </w:num>
  <w:num w:numId="13">
    <w:abstractNumId w:val="15"/>
  </w:num>
  <w:num w:numId="14">
    <w:abstractNumId w:val="22"/>
  </w:num>
  <w:num w:numId="15">
    <w:abstractNumId w:val="5"/>
  </w:num>
  <w:num w:numId="16">
    <w:abstractNumId w:val="26"/>
  </w:num>
  <w:num w:numId="17">
    <w:abstractNumId w:val="21"/>
  </w:num>
  <w:num w:numId="18">
    <w:abstractNumId w:val="27"/>
  </w:num>
  <w:num w:numId="19">
    <w:abstractNumId w:val="6"/>
  </w:num>
  <w:num w:numId="20">
    <w:abstractNumId w:val="14"/>
  </w:num>
  <w:num w:numId="21">
    <w:abstractNumId w:val="7"/>
  </w:num>
  <w:num w:numId="22">
    <w:abstractNumId w:val="10"/>
  </w:num>
  <w:num w:numId="23">
    <w:abstractNumId w:val="16"/>
  </w:num>
  <w:num w:numId="24">
    <w:abstractNumId w:val="19"/>
  </w:num>
  <w:num w:numId="25">
    <w:abstractNumId w:val="12"/>
  </w:num>
  <w:num w:numId="26">
    <w:abstractNumId w:val="9"/>
  </w:num>
  <w:num w:numId="27">
    <w:abstractNumId w:val="13"/>
  </w:num>
  <w:num w:numId="28">
    <w:abstractNumId w:val="1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tjAyNjI3MjYxN7NU0lEKTi0uzszPAykwrAUAJocKSCwAAAA="/>
  </w:docVars>
  <w:rsids>
    <w:rsidRoot w:val="003D7858"/>
    <w:rsid w:val="00004C60"/>
    <w:rsid w:val="0000638E"/>
    <w:rsid w:val="0001216C"/>
    <w:rsid w:val="00015649"/>
    <w:rsid w:val="0002230F"/>
    <w:rsid w:val="00024C88"/>
    <w:rsid w:val="000260DC"/>
    <w:rsid w:val="000262F1"/>
    <w:rsid w:val="00030E84"/>
    <w:rsid w:val="00031F85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32F3"/>
    <w:rsid w:val="000A45E9"/>
    <w:rsid w:val="000B221D"/>
    <w:rsid w:val="000B5192"/>
    <w:rsid w:val="000B771E"/>
    <w:rsid w:val="000B7FB5"/>
    <w:rsid w:val="000C2A22"/>
    <w:rsid w:val="000D7B81"/>
    <w:rsid w:val="000E2985"/>
    <w:rsid w:val="000E44C0"/>
    <w:rsid w:val="000E44D4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5282"/>
    <w:rsid w:val="00127F6D"/>
    <w:rsid w:val="00135C52"/>
    <w:rsid w:val="00135E62"/>
    <w:rsid w:val="00137CCC"/>
    <w:rsid w:val="00141436"/>
    <w:rsid w:val="00143D66"/>
    <w:rsid w:val="00147BA4"/>
    <w:rsid w:val="0015436C"/>
    <w:rsid w:val="00154A43"/>
    <w:rsid w:val="001567BE"/>
    <w:rsid w:val="00157157"/>
    <w:rsid w:val="001604E3"/>
    <w:rsid w:val="00161C06"/>
    <w:rsid w:val="00161D42"/>
    <w:rsid w:val="001626A3"/>
    <w:rsid w:val="00163358"/>
    <w:rsid w:val="001648A7"/>
    <w:rsid w:val="001652C2"/>
    <w:rsid w:val="0017030D"/>
    <w:rsid w:val="00170F48"/>
    <w:rsid w:val="00171E0F"/>
    <w:rsid w:val="0018151F"/>
    <w:rsid w:val="001824D4"/>
    <w:rsid w:val="00183250"/>
    <w:rsid w:val="00187821"/>
    <w:rsid w:val="00187F34"/>
    <w:rsid w:val="001915DA"/>
    <w:rsid w:val="00191755"/>
    <w:rsid w:val="00193805"/>
    <w:rsid w:val="00193C09"/>
    <w:rsid w:val="001954F0"/>
    <w:rsid w:val="001958D8"/>
    <w:rsid w:val="00196461"/>
    <w:rsid w:val="001A01DC"/>
    <w:rsid w:val="001A06E7"/>
    <w:rsid w:val="001A1252"/>
    <w:rsid w:val="001A277A"/>
    <w:rsid w:val="001B22B2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0AAB"/>
    <w:rsid w:val="0025309B"/>
    <w:rsid w:val="00253A84"/>
    <w:rsid w:val="002548E5"/>
    <w:rsid w:val="0025524E"/>
    <w:rsid w:val="00264295"/>
    <w:rsid w:val="00265A26"/>
    <w:rsid w:val="00265A88"/>
    <w:rsid w:val="002670F8"/>
    <w:rsid w:val="00270825"/>
    <w:rsid w:val="00270D17"/>
    <w:rsid w:val="00275763"/>
    <w:rsid w:val="0027606F"/>
    <w:rsid w:val="002803C5"/>
    <w:rsid w:val="002811BB"/>
    <w:rsid w:val="00281AF9"/>
    <w:rsid w:val="0029157E"/>
    <w:rsid w:val="002937B8"/>
    <w:rsid w:val="0029441E"/>
    <w:rsid w:val="0029445D"/>
    <w:rsid w:val="00296332"/>
    <w:rsid w:val="002A1E64"/>
    <w:rsid w:val="002A653F"/>
    <w:rsid w:val="002A76BD"/>
    <w:rsid w:val="002A7DF4"/>
    <w:rsid w:val="002C0C62"/>
    <w:rsid w:val="002C16FF"/>
    <w:rsid w:val="002C19B7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0EA1"/>
    <w:rsid w:val="003137DC"/>
    <w:rsid w:val="00313A4B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2311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3F6524"/>
    <w:rsid w:val="00405271"/>
    <w:rsid w:val="00410478"/>
    <w:rsid w:val="00410E2D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860FE"/>
    <w:rsid w:val="00491C5B"/>
    <w:rsid w:val="00492A36"/>
    <w:rsid w:val="00493F06"/>
    <w:rsid w:val="004965B4"/>
    <w:rsid w:val="00496C55"/>
    <w:rsid w:val="004A043E"/>
    <w:rsid w:val="004A373A"/>
    <w:rsid w:val="004A5705"/>
    <w:rsid w:val="004B7E13"/>
    <w:rsid w:val="004C4F38"/>
    <w:rsid w:val="004C54F6"/>
    <w:rsid w:val="004C55A0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25AB8"/>
    <w:rsid w:val="00532713"/>
    <w:rsid w:val="00542BB5"/>
    <w:rsid w:val="0054768E"/>
    <w:rsid w:val="00550767"/>
    <w:rsid w:val="0055272C"/>
    <w:rsid w:val="00552E00"/>
    <w:rsid w:val="00555C31"/>
    <w:rsid w:val="005577D9"/>
    <w:rsid w:val="0056647C"/>
    <w:rsid w:val="00571740"/>
    <w:rsid w:val="00574DBC"/>
    <w:rsid w:val="00585D0E"/>
    <w:rsid w:val="00585D58"/>
    <w:rsid w:val="005920D5"/>
    <w:rsid w:val="00594880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995"/>
    <w:rsid w:val="005D0DA9"/>
    <w:rsid w:val="005E4870"/>
    <w:rsid w:val="005E7F9E"/>
    <w:rsid w:val="005F16B5"/>
    <w:rsid w:val="005F3BED"/>
    <w:rsid w:val="005F4881"/>
    <w:rsid w:val="005F4F30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AF4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0C0"/>
    <w:rsid w:val="0068734A"/>
    <w:rsid w:val="006906B4"/>
    <w:rsid w:val="00691C91"/>
    <w:rsid w:val="0069372B"/>
    <w:rsid w:val="006937BB"/>
    <w:rsid w:val="006965DC"/>
    <w:rsid w:val="00697B7E"/>
    <w:rsid w:val="006A41C9"/>
    <w:rsid w:val="006A5974"/>
    <w:rsid w:val="006A5D9D"/>
    <w:rsid w:val="006B0ABE"/>
    <w:rsid w:val="006B132D"/>
    <w:rsid w:val="006B3F3B"/>
    <w:rsid w:val="006B438D"/>
    <w:rsid w:val="006B4DE7"/>
    <w:rsid w:val="006B5024"/>
    <w:rsid w:val="006C2CF3"/>
    <w:rsid w:val="006C7FBD"/>
    <w:rsid w:val="006D68DE"/>
    <w:rsid w:val="006E01C3"/>
    <w:rsid w:val="006E3002"/>
    <w:rsid w:val="006E3244"/>
    <w:rsid w:val="006E3436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23DBC"/>
    <w:rsid w:val="00727ED8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3AE6"/>
    <w:rsid w:val="00793056"/>
    <w:rsid w:val="00797E6D"/>
    <w:rsid w:val="007A57B5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66BF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87F2A"/>
    <w:rsid w:val="008925EA"/>
    <w:rsid w:val="00894DF3"/>
    <w:rsid w:val="008950F7"/>
    <w:rsid w:val="00895BA0"/>
    <w:rsid w:val="008A4422"/>
    <w:rsid w:val="008A5D41"/>
    <w:rsid w:val="008A666F"/>
    <w:rsid w:val="008B65EA"/>
    <w:rsid w:val="008B6923"/>
    <w:rsid w:val="008B6B7B"/>
    <w:rsid w:val="008C0735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059F"/>
    <w:rsid w:val="008F42DA"/>
    <w:rsid w:val="0090025D"/>
    <w:rsid w:val="0090251A"/>
    <w:rsid w:val="009033B5"/>
    <w:rsid w:val="0090536A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47FB4"/>
    <w:rsid w:val="0095081D"/>
    <w:rsid w:val="00954F8E"/>
    <w:rsid w:val="00955B8C"/>
    <w:rsid w:val="00963DA4"/>
    <w:rsid w:val="00963F30"/>
    <w:rsid w:val="009642B8"/>
    <w:rsid w:val="009668A7"/>
    <w:rsid w:val="00972D57"/>
    <w:rsid w:val="00973501"/>
    <w:rsid w:val="009754EB"/>
    <w:rsid w:val="00982535"/>
    <w:rsid w:val="00983CE4"/>
    <w:rsid w:val="009849D9"/>
    <w:rsid w:val="00984DEB"/>
    <w:rsid w:val="00990613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B8D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63437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AF0A1E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52BF9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0BC4"/>
    <w:rsid w:val="00BF7A76"/>
    <w:rsid w:val="00C12EBA"/>
    <w:rsid w:val="00C276B4"/>
    <w:rsid w:val="00C31C40"/>
    <w:rsid w:val="00C34070"/>
    <w:rsid w:val="00C357BA"/>
    <w:rsid w:val="00C3677B"/>
    <w:rsid w:val="00C37956"/>
    <w:rsid w:val="00C41423"/>
    <w:rsid w:val="00C42323"/>
    <w:rsid w:val="00C441E6"/>
    <w:rsid w:val="00C45603"/>
    <w:rsid w:val="00C50064"/>
    <w:rsid w:val="00C5638F"/>
    <w:rsid w:val="00C56DCE"/>
    <w:rsid w:val="00C5785E"/>
    <w:rsid w:val="00C61C59"/>
    <w:rsid w:val="00C62B07"/>
    <w:rsid w:val="00C62E1F"/>
    <w:rsid w:val="00C654A2"/>
    <w:rsid w:val="00C66848"/>
    <w:rsid w:val="00C7147D"/>
    <w:rsid w:val="00C71B91"/>
    <w:rsid w:val="00C71E9D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3BA4"/>
    <w:rsid w:val="00CA541F"/>
    <w:rsid w:val="00CB103C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D0F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22B9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5BCB"/>
    <w:rsid w:val="00E17428"/>
    <w:rsid w:val="00E21B37"/>
    <w:rsid w:val="00E23089"/>
    <w:rsid w:val="00E24A28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2B30"/>
    <w:rsid w:val="00E73AA7"/>
    <w:rsid w:val="00E7473E"/>
    <w:rsid w:val="00E7548B"/>
    <w:rsid w:val="00E77758"/>
    <w:rsid w:val="00E82FE8"/>
    <w:rsid w:val="00E84848"/>
    <w:rsid w:val="00E9080C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E78D4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4251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4A53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594B41-D9D2-4879-83C5-DA37EB3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2B96-DAEE-42A7-8857-0BF721CF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September.L</cp:lastModifiedBy>
  <cp:revision>6</cp:revision>
  <cp:lastPrinted>2018-06-19T06:10:00Z</cp:lastPrinted>
  <dcterms:created xsi:type="dcterms:W3CDTF">2018-06-14T08:31:00Z</dcterms:created>
  <dcterms:modified xsi:type="dcterms:W3CDTF">2018-06-26T10:37:00Z</dcterms:modified>
</cp:coreProperties>
</file>