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FE" w:rsidRDefault="00AF22FE" w:rsidP="00AF22FE">
      <w:pPr>
        <w:rPr>
          <w:sz w:val="20"/>
          <w:szCs w:val="20"/>
        </w:rPr>
      </w:pPr>
    </w:p>
    <w:p w:rsidR="00AF22FE" w:rsidRDefault="00AF22FE" w:rsidP="00AF22FE">
      <w:pPr>
        <w:rPr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4" name="Picture 4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22FE" w:rsidRDefault="00AF22FE" w:rsidP="00AF22FE">
      <w:pPr>
        <w:rPr>
          <w:sz w:val="20"/>
          <w:szCs w:val="20"/>
        </w:rPr>
      </w:pPr>
    </w:p>
    <w:p w:rsidR="00AF22FE" w:rsidRDefault="00AF22FE" w:rsidP="00AF22FE">
      <w:pPr>
        <w:rPr>
          <w:sz w:val="20"/>
          <w:szCs w:val="20"/>
        </w:rPr>
      </w:pPr>
    </w:p>
    <w:p w:rsidR="00AF22FE" w:rsidRDefault="00AF22FE" w:rsidP="00AF22FE">
      <w:pPr>
        <w:rPr>
          <w:sz w:val="20"/>
          <w:szCs w:val="20"/>
        </w:rPr>
      </w:pPr>
    </w:p>
    <w:p w:rsidR="00AF22FE" w:rsidRDefault="00AF22FE" w:rsidP="00AF22FE">
      <w:pPr>
        <w:rPr>
          <w:lang w:val="en-ZA"/>
        </w:rPr>
      </w:pPr>
    </w:p>
    <w:p w:rsidR="00AF22FE" w:rsidRDefault="00AF22FE" w:rsidP="00AF22FE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AF22FE" w:rsidRDefault="00AF22FE" w:rsidP="00AF22FE">
      <w:pPr>
        <w:rPr>
          <w:b/>
          <w:color w:val="4F6228"/>
          <w:sz w:val="16"/>
          <w:szCs w:val="16"/>
          <w:lang w:val="en-ZA"/>
        </w:rPr>
      </w:pPr>
    </w:p>
    <w:p w:rsidR="00AF22FE" w:rsidRDefault="00AF22FE" w:rsidP="00AF22FE">
      <w:pPr>
        <w:rPr>
          <w:b/>
          <w:color w:val="4F6228"/>
          <w:sz w:val="16"/>
          <w:szCs w:val="16"/>
          <w:lang w:val="en-ZA"/>
        </w:rPr>
      </w:pPr>
    </w:p>
    <w:p w:rsidR="00AF22FE" w:rsidRDefault="00AF22FE" w:rsidP="00AF22FE">
      <w:pPr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DEPARTMENT: PUBLIC ENTERPRISES</w:t>
      </w:r>
    </w:p>
    <w:p w:rsidR="00AF22FE" w:rsidRDefault="00AF22FE" w:rsidP="00AF22FE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lang w:val="en-ZA"/>
            </w:rPr>
            <w:t>REPUBLIC</w:t>
          </w:r>
        </w:smartTag>
        <w:r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DF58F6" w:rsidRDefault="00DF58F6" w:rsidP="00AF22FE">
      <w:pPr>
        <w:jc w:val="center"/>
        <w:rPr>
          <w:rFonts w:ascii="Arial" w:hAnsi="Arial" w:cs="Arial"/>
          <w:b/>
          <w:bCs/>
          <w:lang w:val="en-ZA"/>
        </w:rPr>
      </w:pPr>
    </w:p>
    <w:p w:rsidR="00AF22FE" w:rsidRDefault="00AF22FE" w:rsidP="00AF22FE">
      <w:pPr>
        <w:jc w:val="center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NATIONAL ASSEMBLY</w:t>
      </w:r>
    </w:p>
    <w:p w:rsidR="00AF22FE" w:rsidRDefault="00AF22FE" w:rsidP="00F13D8A">
      <w:pPr>
        <w:jc w:val="both"/>
        <w:rPr>
          <w:b/>
          <w:sz w:val="28"/>
          <w:szCs w:val="28"/>
          <w:lang w:val="en-ZA"/>
        </w:rPr>
      </w:pPr>
    </w:p>
    <w:p w:rsidR="00AF22FE" w:rsidRPr="00526FC1" w:rsidRDefault="00AF22FE" w:rsidP="00DF58F6">
      <w:pPr>
        <w:jc w:val="center"/>
        <w:rPr>
          <w:rFonts w:ascii="Arial" w:hAnsi="Arial" w:cs="Arial"/>
          <w:b/>
          <w:lang w:val="en-ZA"/>
        </w:rPr>
      </w:pPr>
      <w:r w:rsidRPr="00526FC1">
        <w:rPr>
          <w:rFonts w:ascii="Arial" w:hAnsi="Arial" w:cs="Arial"/>
          <w:b/>
          <w:lang w:val="en-ZA"/>
        </w:rPr>
        <w:t xml:space="preserve">QUESTION FOR </w:t>
      </w:r>
      <w:r w:rsidR="00526FC1">
        <w:rPr>
          <w:rFonts w:ascii="Arial" w:hAnsi="Arial" w:cs="Arial"/>
          <w:b/>
          <w:lang w:val="en-ZA"/>
        </w:rPr>
        <w:t>WRITTEN</w:t>
      </w:r>
      <w:r w:rsidRPr="00526FC1">
        <w:rPr>
          <w:rFonts w:ascii="Arial" w:hAnsi="Arial" w:cs="Arial"/>
          <w:b/>
          <w:lang w:val="en-ZA"/>
        </w:rPr>
        <w:t xml:space="preserve"> REPLY</w:t>
      </w:r>
    </w:p>
    <w:p w:rsidR="00AF22FE" w:rsidRPr="00526FC1" w:rsidRDefault="00AF22FE" w:rsidP="00DF58F6">
      <w:pPr>
        <w:keepNext/>
        <w:spacing w:before="240" w:after="240"/>
        <w:jc w:val="center"/>
        <w:outlineLvl w:val="3"/>
        <w:rPr>
          <w:rFonts w:ascii="Arial" w:hAnsi="Arial" w:cs="Arial"/>
          <w:b/>
        </w:rPr>
      </w:pPr>
      <w:r w:rsidRPr="00526FC1">
        <w:rPr>
          <w:rFonts w:ascii="Arial" w:eastAsia="Arial Unicode MS" w:hAnsi="Arial" w:cs="Arial"/>
          <w:b/>
        </w:rPr>
        <w:t xml:space="preserve">QUESTION No: </w:t>
      </w:r>
      <w:r w:rsidR="00185DB6" w:rsidRPr="00526FC1">
        <w:rPr>
          <w:rFonts w:asciiTheme="minorHAnsi" w:hAnsiTheme="minorHAnsi" w:cstheme="minorHAnsi"/>
          <w:b/>
          <w:bCs/>
        </w:rPr>
        <w:t>17</w:t>
      </w:r>
      <w:r w:rsidR="00526FC1" w:rsidRPr="00526FC1">
        <w:rPr>
          <w:rFonts w:asciiTheme="minorHAnsi" w:hAnsiTheme="minorHAnsi" w:cstheme="minorHAnsi"/>
          <w:b/>
          <w:bCs/>
        </w:rPr>
        <w:t>4</w:t>
      </w:r>
      <w:r w:rsidR="00316C57">
        <w:rPr>
          <w:rFonts w:asciiTheme="minorHAnsi" w:hAnsiTheme="minorHAnsi" w:cstheme="minorHAnsi"/>
          <w:b/>
          <w:bCs/>
        </w:rPr>
        <w:t>4</w:t>
      </w:r>
    </w:p>
    <w:p w:rsidR="00AF22FE" w:rsidRPr="00DF58F6" w:rsidRDefault="005B658F" w:rsidP="00F13D8A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  <w:u w:val="single"/>
        </w:rPr>
      </w:pPr>
      <w:r w:rsidRPr="005B658F">
        <w:rPr>
          <w:noProof/>
          <w:u w:val="single"/>
        </w:rPr>
        <w:pict>
          <v:rect id="Rectangle 3" o:spid="_x0000_s1026" style="position:absolute;left:0;text-align:left;margin-left:615.8pt;margin-top:-41.5pt;width:7.9pt;height:109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Z0MgIAAEYEAAAOAAAAZHJzL2Uyb0RvYy54bWysU8Fu2zAMvQ/YPwi6r7aTdG2NOEWRtMOA&#10;bivW7gMUWbaFyaJGKXGyry8lp2m63Yb5IIgi/Ug+Ps6vd71hW4Veg614cZZzpqyEWtu24j+e7j5c&#10;cuaDsLUwYFXF98rz68X7d/PBlWoCHZhaISMQ68vBVbwLwZVZ5mWneuHPwClLzgawF4FMbLMaxUDo&#10;vckmef4xGwBrhyCV9/S6Gp18kfCbRsnwrWm8CsxUnGoL6cR0ruOZLeaibFG4TstDGeIfquiFtpT0&#10;CLUSQbAN6r+gei0RPDThTEKfQdNoqVIP1E2R/9HNYyecSr0QOd4dafL/D1Z+3T66B4yle3cP8qdn&#10;Fr4D8VRwui07YVt14x0ReXi6rXV4AG0DVXEagwhDp0T99jm18LR3NPoikp0NzpfHpNHwlJ6thy9Q&#10;U4zYBEg87hrsY1HEENulce2P41K7wCQ9Fnk+ndJQJbmK6dX5BRkxhShf/nbowycFPYuXiiN1kdDF&#10;9t6HMfQlJCazcKeNSZIwlg0VnxYX54QvSJhoa86EaUnlMmBC8WB0Hf9I7GG7XhpkW0FKu10Vy8ns&#10;UMybsF4H0rvRfcUv8/iNCozE3do6pQ5Cm/FOnRh74CzSFFXtyzXUe6IM45Coe1o+unSAvzkbSMgV&#10;9782AhVn5rOlYVwVs1lUfjJm5xcTMvDUsz71CCsJquKBmk3XZRi3ZeNQt10SwUjVDY2q0YnF16oO&#10;xZJY0xwOixW34dROUa/rv3gGAAD//wMAUEsDBBQABgAIAAAAIQAEeOjW4gAAAA0BAAAPAAAAZHJz&#10;L2Rvd25yZXYueG1sTI/LTsMwEEX3SPyDNUjsWqdJCFaIUyEkKh5i0dIPcOIhjhrbUey2ga9nuoLd&#10;XM3RfVTr2Q7shFPovZOwWibA0LVe966TsP98XghgISqn1eAdSvjGAOv6+qpSpfZnt8XTLnaMTFwo&#10;lQQT41hyHlqDVoWlH9HR78tPVkWSU8f1pM5kbgeeJknBreodJRg14pPB9rA7WsoV7/n27tC86R/R&#10;v6Qf7ca87jdS3t7Mjw/AIs7xD4ZLfaoONXVq/NHpwAbSabYqiJWwEBmtuiBpfp8Da+jKCgG8rvj/&#10;FfUvAAAA//8DAFBLAQItABQABgAIAAAAIQC2gziS/gAAAOEBAAATAAAAAAAAAAAAAAAAAAAAAABb&#10;Q29udGVudF9UeXBlc10ueG1sUEsBAi0AFAAGAAgAAAAhADj9If/WAAAAlAEAAAsAAAAAAAAAAAAA&#10;AAAALwEAAF9yZWxzLy5yZWxzUEsBAi0AFAAGAAgAAAAhAF/npnQyAgAARgQAAA4AAAAAAAAAAAAA&#10;AAAALgIAAGRycy9lMm9Eb2MueG1sUEsBAi0AFAAGAAgAAAAhAAR46NbiAAAADQEAAA8AAAAAAAAA&#10;AAAAAAAAjAQAAGRycy9kb3ducmV2LnhtbFBLBQYAAAAABAAEAPMAAACbBQAAAAA=&#10;" filled="f" strokecolor="#ed1c24" strokeweight=".25pt">
            <v:stroke endcap="round"/>
            <o:lock v:ext="edit" rotation="t" aspectratio="t" verticies="t" shapetype="t"/>
          </v:rect>
        </w:pict>
      </w:r>
      <w:r w:rsidR="00F13D8A" w:rsidRPr="00DF58F6">
        <w:rPr>
          <w:rFonts w:ascii="Arial" w:hAnsi="Arial" w:cs="Arial"/>
          <w:b/>
          <w:u w:val="single"/>
        </w:rPr>
        <w:t>QUESTION</w:t>
      </w:r>
      <w:r w:rsidR="00AF22FE" w:rsidRPr="00DF58F6">
        <w:rPr>
          <w:rFonts w:ascii="Arial" w:hAnsi="Arial" w:cs="Arial"/>
          <w:bCs/>
          <w:u w:val="single"/>
        </w:rPr>
        <w:t>:</w:t>
      </w:r>
    </w:p>
    <w:p w:rsidR="00DF58F6" w:rsidRDefault="00526FC1" w:rsidP="00DF58F6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eastAsia="en-ZA"/>
        </w:rPr>
      </w:pPr>
      <w:r w:rsidRPr="00526FC1">
        <w:rPr>
          <w:rFonts w:ascii="Arial" w:hAnsi="Arial" w:cs="Arial"/>
          <w:b/>
          <w:bCs/>
          <w:lang w:eastAsia="en-ZA"/>
        </w:rPr>
        <w:t>174</w:t>
      </w:r>
      <w:r w:rsidR="00316C57">
        <w:rPr>
          <w:rFonts w:ascii="Arial" w:hAnsi="Arial" w:cs="Arial"/>
          <w:b/>
          <w:bCs/>
          <w:lang w:eastAsia="en-ZA"/>
        </w:rPr>
        <w:t>4</w:t>
      </w:r>
      <w:r w:rsidRPr="00526FC1">
        <w:rPr>
          <w:rFonts w:ascii="Arial" w:hAnsi="Arial" w:cs="Arial"/>
          <w:b/>
          <w:bCs/>
          <w:lang w:eastAsia="en-ZA"/>
        </w:rPr>
        <w:t xml:space="preserve">. Ms O M C Maotwe (EFF) to ask the Minister of Public Enterprises: </w:t>
      </w:r>
      <w:r w:rsidRPr="00526FC1">
        <w:rPr>
          <w:rFonts w:ascii="Arial" w:hAnsi="Arial" w:cs="Arial"/>
          <w:lang w:eastAsia="en-ZA"/>
        </w:rPr>
        <w:br/>
      </w:r>
    </w:p>
    <w:p w:rsidR="006035B5" w:rsidRDefault="00A565BB" w:rsidP="00DF58F6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ZA"/>
        </w:rPr>
        <w:t xml:space="preserve">Whether, considering the presentation that the Auditor-General of South Africa made to the Portfolio Committee on Public Enterprises on 3 May 2023, which demonstrated that, state-owned companies (SOEs) have faced rampant corruption, mismanagement and financial loss since he took over as Minister of Public Enterprises, he intends to resign for failing to stabilise the SOEs; if not, why not, if so, what are the relevant details </w:t>
      </w:r>
      <w:r w:rsidR="00526FC1" w:rsidRPr="00526FC1">
        <w:rPr>
          <w:rFonts w:ascii="Arial" w:hAnsi="Arial" w:cs="Arial"/>
          <w:lang w:eastAsia="en-ZA"/>
        </w:rPr>
        <w:t xml:space="preserve">? </w:t>
      </w:r>
      <w:r w:rsidR="00526FC1" w:rsidRPr="00526FC1">
        <w:rPr>
          <w:rFonts w:ascii="Arial" w:hAnsi="Arial" w:cs="Arial"/>
          <w:b/>
          <w:bCs/>
          <w:lang w:eastAsia="en-ZA"/>
        </w:rPr>
        <w:t>NW1991E</w:t>
      </w:r>
      <w:r w:rsidR="00AF22FE" w:rsidRPr="00526FC1">
        <w:rPr>
          <w:rFonts w:ascii="Arial" w:hAnsi="Arial" w:cs="Arial"/>
          <w:bCs/>
        </w:rPr>
        <w:tab/>
      </w:r>
    </w:p>
    <w:p w:rsidR="00AF22FE" w:rsidRPr="00526FC1" w:rsidRDefault="00AF22FE" w:rsidP="00336FC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  <w:r w:rsidRPr="00526FC1">
        <w:rPr>
          <w:rFonts w:ascii="Arial" w:hAnsi="Arial" w:cs="Arial"/>
          <w:bCs/>
        </w:rPr>
        <w:tab/>
      </w:r>
    </w:p>
    <w:p w:rsidR="00AF22FE" w:rsidRPr="00526FC1" w:rsidRDefault="00AF22FE" w:rsidP="00336FC5">
      <w:pPr>
        <w:widowControl w:val="0"/>
        <w:suppressAutoHyphens/>
        <w:jc w:val="both"/>
        <w:rPr>
          <w:rFonts w:ascii="Arial" w:hAnsi="Arial" w:cs="Arial"/>
          <w:b/>
        </w:rPr>
      </w:pPr>
      <w:r w:rsidRPr="00526FC1">
        <w:rPr>
          <w:rFonts w:ascii="Arial" w:hAnsi="Arial" w:cs="Arial"/>
          <w:b/>
        </w:rPr>
        <w:t xml:space="preserve">REPLY: </w:t>
      </w:r>
    </w:p>
    <w:p w:rsidR="00DF58F6" w:rsidRDefault="00DF58F6" w:rsidP="006035B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No.</w:t>
      </w:r>
    </w:p>
    <w:p w:rsidR="00DF58F6" w:rsidRDefault="00DF58F6" w:rsidP="006035B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Only six SOEs fall within the Department of Public Enterprises mandate. A large number of SOEs are the responsibility of other departments.</w:t>
      </w:r>
    </w:p>
    <w:p w:rsidR="00DF58F6" w:rsidRDefault="00DF58F6" w:rsidP="006035B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are some of the steps taken by the SOEs to fight corruption and stabilize their finances and operations:</w:t>
      </w:r>
    </w:p>
    <w:p w:rsidR="006035B5" w:rsidRDefault="006035B5" w:rsidP="006035B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Since 2018</w:t>
      </w:r>
      <w:r w:rsidR="00DF58F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 department has </w:t>
      </w:r>
      <w:r w:rsidR="00B73E25">
        <w:rPr>
          <w:rFonts w:ascii="Arial" w:hAnsi="Arial" w:cs="Arial"/>
          <w:bCs/>
        </w:rPr>
        <w:t xml:space="preserve">launched </w:t>
      </w:r>
      <w:r>
        <w:rPr>
          <w:rFonts w:ascii="Arial" w:hAnsi="Arial" w:cs="Arial"/>
          <w:bCs/>
        </w:rPr>
        <w:t>initiat</w:t>
      </w:r>
      <w:r w:rsidR="00B73E25">
        <w:rPr>
          <w:rFonts w:ascii="Arial" w:hAnsi="Arial" w:cs="Arial"/>
          <w:bCs/>
        </w:rPr>
        <w:t>ives to eradicate fraud and corruption in the SOEs. This includes holding perpetrators of state capture and corruption</w:t>
      </w:r>
      <w:r w:rsidR="0003629D">
        <w:rPr>
          <w:rFonts w:ascii="Arial" w:hAnsi="Arial" w:cs="Arial"/>
          <w:bCs/>
        </w:rPr>
        <w:t xml:space="preserve"> to account</w:t>
      </w:r>
      <w:r w:rsidR="00B73E25">
        <w:rPr>
          <w:rFonts w:ascii="Arial" w:hAnsi="Arial" w:cs="Arial"/>
          <w:bCs/>
        </w:rPr>
        <w:t>. Progress to date in fighting corruption is as follows:</w:t>
      </w:r>
      <w:r>
        <w:rPr>
          <w:rFonts w:ascii="Arial" w:hAnsi="Arial" w:cs="Arial"/>
          <w:bCs/>
        </w:rPr>
        <w:t xml:space="preserve"> </w:t>
      </w:r>
    </w:p>
    <w:p w:rsidR="00AF22FE" w:rsidRPr="00755B3A" w:rsidRDefault="006035B5" w:rsidP="009D3285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755B3A">
        <w:rPr>
          <w:rFonts w:ascii="Arial" w:hAnsi="Arial" w:cs="Arial"/>
          <w:b/>
        </w:rPr>
        <w:t xml:space="preserve">Eskom </w:t>
      </w:r>
    </w:p>
    <w:p w:rsidR="006035B5" w:rsidRDefault="006035B5" w:rsidP="00336FC5">
      <w:pPr>
        <w:widowControl w:val="0"/>
        <w:suppressAutoHyphens/>
        <w:jc w:val="both"/>
        <w:rPr>
          <w:rFonts w:ascii="Arial" w:hAnsi="Arial" w:cs="Arial"/>
          <w:b/>
        </w:rPr>
      </w:pP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035B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Contracts amounting to R14.7 billion were subject to state capture. </w:t>
      </w: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R4,8 billion is being claimed against former contractors and Eskom’s former directors. </w:t>
      </w:r>
    </w:p>
    <w:p w:rsidR="00755B3A" w:rsidRP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Eskom and SIU successfully recovered R2 billion unlawfully paid to contractors. </w:t>
      </w: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Eskom has opened 11 criminal cases for investigation by law enforcement agencies with the view to ensure that perpetrators of state capture are prosecuted. </w:t>
      </w: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lastRenderedPageBreak/>
        <w:t xml:space="preserve">2 cases of corruption are before the courts, one relates to ABB and another one relates to former Acting GCE Mr. Koko. </w:t>
      </w: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Consultations with CIPC and law enforcement agencies </w:t>
      </w:r>
      <w:r w:rsidR="000F67E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are </w:t>
      </w: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unfolding to imminently launch director delinquency proceedings against 13 former directors of Eskom. </w:t>
      </w:r>
    </w:p>
    <w:p w:rsidR="00755B3A" w:rsidRPr="009D3285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>25 names of former senior executive of Eskom</w:t>
      </w:r>
      <w:r w:rsidR="000F67E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have been</w:t>
      </w: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identified for inclusion into a state-wide central database of officials implicated in state capture and other administrative corruption.</w:t>
      </w:r>
    </w:p>
    <w:p w:rsidR="009D3285" w:rsidRPr="00755B3A" w:rsidRDefault="009D328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c</w:t>
      </w:r>
      <w:proofErr w:type="spellStart"/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>entral</w:t>
      </w:r>
      <w:proofErr w:type="spellEnd"/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database</w:t>
      </w: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to be used to monitor that individuals do not resurface elsewhere in the state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is being established</w:t>
      </w: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. </w:t>
      </w: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DPE’s complaint laid with IRBA resulted in Mr. Aaron </w:t>
      </w:r>
      <w:proofErr w:type="spellStart"/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>Buyiswa</w:t>
      </w:r>
      <w:proofErr w:type="spellEnd"/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proofErr w:type="spellStart"/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>Mthimunye</w:t>
      </w:r>
      <w:proofErr w:type="spellEnd"/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being fined R5.1 million and being barred from practicing as an auditor for incorrect audit opinion in respect of Eskom’s 2016 audit.</w:t>
      </w:r>
    </w:p>
    <w:p w:rsidR="00755B3A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>The complaint laid with SAICA against Mr. Anoj Singh resulted in him being barred from practicing as an auditor and fined 50% (exact figure not provided) of the costs of the disciplinary hearing.</w:t>
      </w:r>
    </w:p>
    <w:p w:rsidR="009D3285" w:rsidRPr="009D3285" w:rsidRDefault="006035B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55B3A">
        <w:rPr>
          <w:rFonts w:ascii="Arial" w:eastAsiaTheme="minorEastAsia" w:hAnsi="Arial" w:cs="Arial"/>
          <w:color w:val="000000" w:themeColor="text1"/>
          <w:kern w:val="24"/>
          <w:lang w:val="en-ZA"/>
        </w:rPr>
        <w:t>The MOI of Eskom was revised in 2019 and all board t</w:t>
      </w:r>
      <w:r w:rsidRPr="00755B3A">
        <w:rPr>
          <w:rFonts w:ascii="Arial" w:eastAsiaTheme="minorEastAsia" w:hAnsi="Arial" w:cs="Arial"/>
          <w:color w:val="000000" w:themeColor="text1"/>
          <w:kern w:val="24"/>
          <w:lang w:val="en-GB"/>
        </w:rPr>
        <w:t>ender committees were done away with.</w:t>
      </w:r>
    </w:p>
    <w:p w:rsidR="009D3285" w:rsidRDefault="009D3285" w:rsidP="009D328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9D3285" w:rsidRDefault="009D3285" w:rsidP="009D3285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9A73AF" w:rsidRPr="009D3285" w:rsidRDefault="009A73AF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kern w:val="24"/>
          <w:lang w:val="en-ZA"/>
        </w:rPr>
        <w:t>SIU launched investigations into 14 coal transportation service provider concerning payments from 201</w:t>
      </w:r>
      <w:r w:rsidR="00A544B6">
        <w:rPr>
          <w:rFonts w:ascii="Arial" w:eastAsiaTheme="minorEastAsia" w:hAnsi="Arial" w:cs="Arial"/>
          <w:kern w:val="24"/>
          <w:lang w:val="en-ZA"/>
        </w:rPr>
        <w:t>6</w:t>
      </w:r>
      <w:r w:rsidRPr="009D3285">
        <w:rPr>
          <w:rFonts w:ascii="Arial" w:eastAsiaTheme="minorEastAsia" w:hAnsi="Arial" w:cs="Arial"/>
          <w:kern w:val="24"/>
          <w:lang w:val="en-ZA"/>
        </w:rPr>
        <w:t xml:space="preserve"> to 31 January 2021.</w:t>
      </w:r>
    </w:p>
    <w:p w:rsidR="00460B23" w:rsidRPr="009A73AF" w:rsidRDefault="00460B23" w:rsidP="009A73A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9D3285" w:rsidRPr="009D3285" w:rsidRDefault="009A73AF" w:rsidP="009D3285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Arial"/>
        </w:rPr>
      </w:pPr>
      <w:r w:rsidRPr="009A73AF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Five employees were suspended, one resigned during the interview with the investigating team and one resigned prior </w:t>
      </w:r>
      <w:r w:rsidR="0003629D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to </w:t>
      </w:r>
      <w:r w:rsidRPr="009A73AF">
        <w:rPr>
          <w:rFonts w:ascii="Arial" w:eastAsiaTheme="minorEastAsia" w:hAnsi="Arial" w:cs="Arial"/>
          <w:color w:val="000000" w:themeColor="text1"/>
          <w:kern w:val="24"/>
          <w:lang w:val="en-ZA"/>
        </w:rPr>
        <w:t>commencement of the investigation.</w:t>
      </w:r>
    </w:p>
    <w:p w:rsidR="009D3285" w:rsidRPr="009D3285" w:rsidRDefault="009A73AF" w:rsidP="009D3285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The official who resigned during the interview received R3.1m from one of the vendors under investigation. </w:t>
      </w:r>
    </w:p>
    <w:p w:rsidR="009D3285" w:rsidRPr="009D3285" w:rsidRDefault="009A73AF" w:rsidP="009D3285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The SIU Tribunal 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issued 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an order in October 2021 to freeze R11.5m held in a bank account of an entity, which a senior Eskom official was a signatory, and the official was dismissed. </w:t>
      </w:r>
    </w:p>
    <w:p w:rsidR="009A73AF" w:rsidRPr="009D3285" w:rsidRDefault="009A73AF" w:rsidP="009D3285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15 criminal cases are being investigated in relation to coal transport contracts. </w:t>
      </w:r>
    </w:p>
    <w:p w:rsidR="009A73AF" w:rsidRPr="009A73AF" w:rsidRDefault="009A73AF" w:rsidP="009A73AF">
      <w:pPr>
        <w:pStyle w:val="ListParagraph"/>
        <w:jc w:val="both"/>
        <w:textAlignment w:val="baseline"/>
        <w:rPr>
          <w:rFonts w:ascii="Arial" w:hAnsi="Arial" w:cs="Arial"/>
        </w:rPr>
      </w:pPr>
    </w:p>
    <w:p w:rsidR="009A73AF" w:rsidRPr="009D3285" w:rsidRDefault="009A73AF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Four diesel suppliers are implicated in potential wrongdoing are under investigation.</w:t>
      </w:r>
      <w:r w:rsidR="009D3285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SIU has referred 5620 matters to Eskom for institution of disciplinary proceedings </w:t>
      </w:r>
      <w:r w:rsid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as follows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: </w:t>
      </w:r>
    </w:p>
    <w:p w:rsidR="009D3285" w:rsidRPr="009D3285" w:rsidRDefault="009A73AF" w:rsidP="009D328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9A73AF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5464 for failure to submit financial declarations that are integral in preventing and detecting conflict of interest concerning the management of Eskom's resources. </w:t>
      </w:r>
    </w:p>
    <w:p w:rsidR="009D3285" w:rsidRPr="009D3285" w:rsidRDefault="009A73AF" w:rsidP="009D328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135 for failing to declare or get approval for doing work outside of Eskom.</w:t>
      </w:r>
    </w:p>
    <w:p w:rsidR="009D3285" w:rsidRPr="009D3285" w:rsidRDefault="009A73AF" w:rsidP="009D328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kern w:val="24"/>
          <w:lang w:val="en-ZA"/>
        </w:rPr>
        <w:t>11 officials red flagged through lifestyle audits.</w:t>
      </w:r>
    </w:p>
    <w:p w:rsidR="009D3285" w:rsidRPr="009D3285" w:rsidRDefault="009A73AF" w:rsidP="009D328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kern w:val="24"/>
          <w:lang w:val="en-ZA"/>
        </w:rPr>
        <w:t xml:space="preserve">10 officials referred through whistle blower reports. </w:t>
      </w:r>
    </w:p>
    <w:p w:rsidR="009D3285" w:rsidRPr="009D3285" w:rsidRDefault="009A73AF" w:rsidP="009D328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kern w:val="24"/>
          <w:lang w:val="en-ZA"/>
        </w:rPr>
        <w:t xml:space="preserve">14 officials referred concerning findings from build contract investigations. </w:t>
      </w:r>
    </w:p>
    <w:p w:rsidR="009A73AF" w:rsidRPr="009D3285" w:rsidRDefault="009A73AF" w:rsidP="009D328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kern w:val="24"/>
          <w:lang w:val="en-ZA"/>
        </w:rPr>
        <w:t xml:space="preserve">1 official in relation to coal transportation contract. </w:t>
      </w:r>
    </w:p>
    <w:p w:rsidR="00D828BC" w:rsidRDefault="00D828BC" w:rsidP="00336FC5">
      <w:pPr>
        <w:widowControl w:val="0"/>
        <w:suppressAutoHyphens/>
        <w:jc w:val="both"/>
        <w:rPr>
          <w:rFonts w:ascii="Arial" w:hAnsi="Arial" w:cs="Arial"/>
          <w:bCs/>
        </w:rPr>
      </w:pPr>
    </w:p>
    <w:p w:rsidR="00D828BC" w:rsidRPr="00D828BC" w:rsidRDefault="00D828BC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Contracts cancelled by Eskom as a result of SIU’s investigations:</w:t>
      </w:r>
    </w:p>
    <w:p w:rsidR="009D3285" w:rsidRPr="009D3285" w:rsidRDefault="00D828BC" w:rsidP="009D3285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CSA </w:t>
      </w:r>
      <w:proofErr w:type="gramStart"/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-  R6.955bn</w:t>
      </w:r>
      <w:proofErr w:type="gramEnd"/>
      <w:r w:rsidR="0003629D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9D3285" w:rsidRDefault="00D828BC" w:rsidP="009D3285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Build contracts – R4.128bn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D828BC" w:rsidRPr="009D3285" w:rsidRDefault="00D828BC" w:rsidP="009D3285">
      <w:pPr>
        <w:pStyle w:val="ListParagraph"/>
        <w:numPr>
          <w:ilvl w:val="0"/>
          <w:numId w:val="5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Total – 11.083bn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9D3285" w:rsidRDefault="009D3285" w:rsidP="009D3285">
      <w:pPr>
        <w:pStyle w:val="ListParagraph"/>
        <w:ind w:left="1440"/>
        <w:jc w:val="both"/>
        <w:textAlignment w:val="baseline"/>
        <w:rPr>
          <w:rFonts w:ascii="Arial" w:hAnsi="Arial" w:cs="Arial"/>
        </w:rPr>
      </w:pPr>
    </w:p>
    <w:p w:rsidR="00D828BC" w:rsidRDefault="00D828BC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Contracts declared invalid by the courts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:</w:t>
      </w:r>
    </w:p>
    <w:p w:rsidR="00D828BC" w:rsidRPr="009D3285" w:rsidRDefault="00D828BC" w:rsidP="009D3285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CSA </w:t>
      </w:r>
      <w:proofErr w:type="gramStart"/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-  R3.7</w:t>
      </w:r>
      <w:proofErr w:type="gramEnd"/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bn</w:t>
      </w:r>
      <w:r w:rsid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D828BC" w:rsidRDefault="009D3285" w:rsidP="009D3285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</w:rPr>
      </w:pPr>
    </w:p>
    <w:p w:rsidR="00D828BC" w:rsidRPr="00D828BC" w:rsidRDefault="00D828BC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Savings/Losses Prevented</w:t>
      </w:r>
    </w:p>
    <w:p w:rsidR="009D3285" w:rsidRPr="009D3285" w:rsidRDefault="00D828BC" w:rsidP="009D3285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CSA: Setting aside </w:t>
      </w:r>
      <w:proofErr w:type="spellStart"/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Brakfontein</w:t>
      </w:r>
      <w:proofErr w:type="spellEnd"/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CSA – R2.684 </w:t>
      </w:r>
      <w:r w:rsidR="0003629D"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bn</w:t>
      </w:r>
      <w:r w:rsidR="0003629D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9D3285" w:rsidRDefault="00D828BC" w:rsidP="009D3285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CSA: Cancellation of </w:t>
      </w:r>
      <w:proofErr w:type="spellStart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Koorfontein</w:t>
      </w:r>
      <w:proofErr w:type="spellEnd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CSA - R5.550 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bn.</w:t>
      </w:r>
    </w:p>
    <w:p w:rsidR="009D3285" w:rsidRPr="009D3285" w:rsidRDefault="00D828BC" w:rsidP="009D3285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Build Contract matter before Dispute Arbitration Board (Stefanutti </w:t>
      </w:r>
      <w:r w:rsidR="00460B23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Stocks) -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R400m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D828BC" w:rsidRPr="009D3285" w:rsidRDefault="00D828BC" w:rsidP="009D3285">
      <w:pPr>
        <w:pStyle w:val="ListParagraph"/>
        <w:numPr>
          <w:ilvl w:val="0"/>
          <w:numId w:val="6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ABB: Prevention of future losses – R1.45bn.</w:t>
      </w:r>
    </w:p>
    <w:p w:rsidR="0003629D" w:rsidRDefault="0003629D" w:rsidP="00D828BC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</w:p>
    <w:p w:rsidR="00D828BC" w:rsidRPr="00D828BC" w:rsidRDefault="00D828BC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Evidence referred to assist Eskom in Defence contractors' claims before the Dispute arbitration Board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:</w:t>
      </w:r>
    </w:p>
    <w:p w:rsidR="009D3285" w:rsidRPr="009D3285" w:rsidRDefault="00D828BC" w:rsidP="009D3285">
      <w:pPr>
        <w:pStyle w:val="ListParagraph"/>
        <w:numPr>
          <w:ilvl w:val="0"/>
          <w:numId w:val="7"/>
        </w:numPr>
        <w:jc w:val="both"/>
        <w:textAlignment w:val="baseline"/>
        <w:rPr>
          <w:rFonts w:ascii="Arial" w:hAnsi="Arial" w:cs="Arial"/>
        </w:rPr>
      </w:pPr>
      <w:r w:rsidRPr="00D828BC">
        <w:rPr>
          <w:rFonts w:ascii="Arial" w:eastAsiaTheme="minorEastAsia" w:hAnsi="Arial" w:cs="Arial"/>
          <w:color w:val="000000" w:themeColor="text1"/>
          <w:kern w:val="24"/>
          <w:lang w:val="en-ZA"/>
        </w:rPr>
        <w:t>Stefanutti Stocks R.6 bn</w:t>
      </w:r>
      <w:r w:rsidR="0003629D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9D3285" w:rsidRDefault="00D828BC" w:rsidP="009D3285">
      <w:pPr>
        <w:pStyle w:val="ListParagraph"/>
        <w:numPr>
          <w:ilvl w:val="0"/>
          <w:numId w:val="7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Tubular </w:t>
      </w:r>
      <w:proofErr w:type="gramStart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-  R60m</w:t>
      </w:r>
      <w:proofErr w:type="gramEnd"/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9D3285" w:rsidRDefault="00D828BC" w:rsidP="009D3285">
      <w:pPr>
        <w:pStyle w:val="ListParagraph"/>
        <w:numPr>
          <w:ilvl w:val="0"/>
          <w:numId w:val="7"/>
        </w:numPr>
        <w:jc w:val="both"/>
        <w:textAlignment w:val="baseline"/>
        <w:rPr>
          <w:rFonts w:ascii="Arial" w:hAnsi="Arial" w:cs="Arial"/>
        </w:rPr>
      </w:pPr>
      <w:proofErr w:type="spellStart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Tenova</w:t>
      </w:r>
      <w:proofErr w:type="spellEnd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– R300m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Pr="009D3285" w:rsidRDefault="00D828BC" w:rsidP="009D3285">
      <w:pPr>
        <w:pStyle w:val="ListParagraph"/>
        <w:numPr>
          <w:ilvl w:val="0"/>
          <w:numId w:val="7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ABB – R1.45 bn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D828BC" w:rsidRPr="009D3285" w:rsidRDefault="00D828BC" w:rsidP="009D3285">
      <w:pPr>
        <w:pStyle w:val="ListParagraph"/>
        <w:numPr>
          <w:ilvl w:val="0"/>
          <w:numId w:val="7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Total R3.41bn</w:t>
      </w:r>
      <w:r w:rsidR="0003629D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AF22FE" w:rsidRDefault="00AF22FE" w:rsidP="00336FC5">
      <w:pPr>
        <w:widowControl w:val="0"/>
        <w:suppressAutoHyphens/>
        <w:jc w:val="both"/>
        <w:rPr>
          <w:rFonts w:ascii="Arial" w:hAnsi="Arial" w:cs="Arial"/>
          <w:b/>
        </w:rPr>
      </w:pPr>
    </w:p>
    <w:p w:rsidR="00460B23" w:rsidRPr="00460B23" w:rsidRDefault="00460B23" w:rsidP="009D3285">
      <w:pPr>
        <w:pStyle w:val="ListParagraph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460B23">
        <w:rPr>
          <w:rFonts w:ascii="Arial" w:hAnsi="Arial" w:cs="Arial"/>
          <w:b/>
        </w:rPr>
        <w:t xml:space="preserve">Transnet </w:t>
      </w:r>
    </w:p>
    <w:p w:rsidR="00460B23" w:rsidRPr="00526FC1" w:rsidRDefault="00460B23" w:rsidP="00336FC5">
      <w:pPr>
        <w:widowControl w:val="0"/>
        <w:suppressAutoHyphens/>
        <w:jc w:val="both"/>
        <w:rPr>
          <w:rFonts w:ascii="Arial" w:hAnsi="Arial" w:cs="Arial"/>
          <w:b/>
        </w:rPr>
      </w:pPr>
    </w:p>
    <w:p w:rsidR="00460B23" w:rsidRDefault="00460B23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>The total value of tainted contracts identified by the Commission amounted to R41.2bn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. </w:t>
      </w:r>
    </w:p>
    <w:p w:rsidR="00460B23" w:rsidRDefault="00460B23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>Transnet successfully recovered R744m</w:t>
      </w:r>
      <w:r w:rsidR="0003629D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from </w:t>
      </w:r>
      <w:r w:rsidR="00410A5C"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>CRRC and</w:t>
      </w:r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proofErr w:type="spellStart"/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>Liebher</w:t>
      </w:r>
      <w:proofErr w:type="spellEnd"/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R1.181bn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Default="00460B23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  <w:r w:rsidRPr="00460B23">
        <w:rPr>
          <w:rFonts w:ascii="Arial" w:eastAsiaTheme="minorEastAsia" w:hAnsi="Arial" w:cs="Arial"/>
          <w:color w:val="000000" w:themeColor="text1"/>
          <w:kern w:val="24"/>
          <w:lang w:val="en-ZA"/>
        </w:rPr>
        <w:t>Transnet opened 12 criminal cases for investigation by law enforcement agencies with the view to ensure that perpetrators of state capture are prosecuted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9D3285" w:rsidRDefault="009D3285" w:rsidP="009D3285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</w:p>
    <w:p w:rsidR="00460B23" w:rsidRPr="009D3285" w:rsidRDefault="00460B23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The value of contracts under investigation is as follows: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Procurement of 1064 </w:t>
      </w:r>
      <w:r w:rsidR="009D3285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locomotives -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R49,46bn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Liebherr crane contracts  - R1,084bn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ZPMC crane contract – </w:t>
      </w:r>
      <w:r w:rsidR="00BA2DE7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R961m.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Regiments and Trillian advisory services </w:t>
      </w:r>
      <w:r w:rsidR="00BA2DE7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contract -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R1.49bn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Nedbank interest rate swaps transaction facilitated by </w:t>
      </w:r>
      <w:r w:rsidR="00BA2DE7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Regiments that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r w:rsidR="00BA2DE7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has</w:t>
      </w: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cost Transnet R2.339bn payments and interest rate of around R531m and fees of R146m paid to Regiments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Neotel contract for installation of CCTV cameras in ports with potential civil recovery of R834m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Global Software Solutions (GSS) contract for wagon optimisation project amounting to R250m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Commission  paid to GSS for facilitating the IT contract  awarded by Transnet to SAP on a R165m contract</w:t>
      </w:r>
      <w:r w:rsidR="00410A5C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; and </w:t>
      </w:r>
    </w:p>
    <w:p w:rsidR="00460B23" w:rsidRPr="009D3285" w:rsidRDefault="00460B23" w:rsidP="009D3285">
      <w:pPr>
        <w:pStyle w:val="ListParagraph"/>
        <w:numPr>
          <w:ilvl w:val="0"/>
          <w:numId w:val="8"/>
        </w:numPr>
        <w:jc w:val="both"/>
        <w:textAlignment w:val="baseline"/>
        <w:rPr>
          <w:rFonts w:ascii="Arial" w:hAnsi="Arial" w:cs="Arial"/>
        </w:rPr>
      </w:pPr>
      <w:proofErr w:type="spellStart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Zestilor</w:t>
      </w:r>
      <w:proofErr w:type="spellEnd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for cession of Transnet hardware from T-Systems to </w:t>
      </w:r>
      <w:proofErr w:type="spellStart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Zestilor</w:t>
      </w:r>
      <w:proofErr w:type="spellEnd"/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contract valued at R154,2m</w:t>
      </w:r>
      <w:r w:rsidR="00B32E5E"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B32E5E" w:rsidRPr="00B32E5E" w:rsidRDefault="00B32E5E" w:rsidP="00B32E5E">
      <w:pPr>
        <w:jc w:val="both"/>
        <w:textAlignment w:val="baseline"/>
        <w:rPr>
          <w:rFonts w:ascii="Arial" w:hAnsi="Arial" w:cs="Arial"/>
        </w:rPr>
      </w:pPr>
    </w:p>
    <w:p w:rsidR="00B32E5E" w:rsidRPr="00B32E5E" w:rsidRDefault="00B32E5E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32E5E">
        <w:rPr>
          <w:rFonts w:ascii="Arial" w:eastAsiaTheme="minorEastAsia" w:hAnsi="Arial" w:cs="Arial"/>
          <w:color w:val="000000" w:themeColor="text1"/>
          <w:kern w:val="24"/>
          <w:lang w:val="en-ZA"/>
        </w:rPr>
        <w:t>Value of successful civil recovering:</w:t>
      </w:r>
    </w:p>
    <w:p w:rsidR="009D3285" w:rsidRPr="009D3285" w:rsidRDefault="00B32E5E" w:rsidP="009D3285">
      <w:pPr>
        <w:pStyle w:val="ListParagraph"/>
        <w:numPr>
          <w:ilvl w:val="0"/>
          <w:numId w:val="9"/>
        </w:numPr>
        <w:jc w:val="both"/>
        <w:textAlignment w:val="baseline"/>
        <w:rPr>
          <w:rFonts w:ascii="Arial" w:hAnsi="Arial" w:cs="Arial"/>
        </w:rPr>
      </w:pPr>
      <w:r w:rsidRPr="00B32E5E">
        <w:rPr>
          <w:rFonts w:ascii="Arial" w:eastAsiaTheme="minorEastAsia" w:hAnsi="Arial" w:cs="Arial"/>
          <w:color w:val="000000" w:themeColor="text1"/>
          <w:kern w:val="24"/>
          <w:lang w:val="en-ZA"/>
        </w:rPr>
        <w:t>R18m paid to CRRC for an advanced payment made for spare</w:t>
      </w:r>
      <w:r w:rsidR="000F67E5">
        <w:rPr>
          <w:rFonts w:ascii="Arial" w:eastAsiaTheme="minorEastAsia" w:hAnsi="Arial" w:cs="Arial"/>
          <w:color w:val="000000" w:themeColor="text1"/>
          <w:kern w:val="24"/>
          <w:lang w:val="en-ZA"/>
        </w:rPr>
        <w:t>s</w:t>
      </w:r>
      <w:r w:rsidRPr="00B32E5E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that were not delivered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; and</w:t>
      </w:r>
    </w:p>
    <w:p w:rsidR="00B32E5E" w:rsidRPr="009D3285" w:rsidRDefault="00B32E5E" w:rsidP="009D3285">
      <w:pPr>
        <w:pStyle w:val="ListParagraph"/>
        <w:numPr>
          <w:ilvl w:val="0"/>
          <w:numId w:val="9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R54m paid to Liebherr for the crane contract.</w:t>
      </w:r>
    </w:p>
    <w:p w:rsidR="00B32E5E" w:rsidRPr="00B32E5E" w:rsidRDefault="00B32E5E" w:rsidP="00B32E5E">
      <w:pPr>
        <w:pStyle w:val="ListParagraph"/>
        <w:ind w:left="1440"/>
        <w:jc w:val="both"/>
        <w:textAlignment w:val="baseline"/>
        <w:rPr>
          <w:rFonts w:ascii="Arial" w:hAnsi="Arial" w:cs="Arial"/>
        </w:rPr>
      </w:pPr>
    </w:p>
    <w:p w:rsidR="00B32E5E" w:rsidRPr="00B32E5E" w:rsidRDefault="00B32E5E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32E5E">
        <w:rPr>
          <w:rFonts w:ascii="Arial" w:eastAsiaTheme="minorEastAsia" w:hAnsi="Arial" w:cs="Arial"/>
          <w:color w:val="000000" w:themeColor="text1"/>
          <w:kern w:val="24"/>
          <w:lang w:val="en-ZA"/>
        </w:rPr>
        <w:t>Transnet and SIU progressing with litigation to:</w:t>
      </w:r>
    </w:p>
    <w:p w:rsidR="009D3285" w:rsidRPr="009D3285" w:rsidRDefault="00B32E5E" w:rsidP="009D3285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hAnsi="Arial" w:cs="Arial"/>
        </w:rPr>
      </w:pPr>
      <w:r w:rsidRPr="00B32E5E">
        <w:rPr>
          <w:rFonts w:ascii="Arial" w:eastAsiaTheme="minorEastAsia" w:hAnsi="Arial" w:cs="Arial"/>
          <w:color w:val="000000" w:themeColor="text1"/>
          <w:kern w:val="24"/>
          <w:lang w:val="en-ZA"/>
        </w:rPr>
        <w:t>Review and set aside of1064 locomotives contract and just and equitable relief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9D3285" w:rsidRPr="009D3285" w:rsidRDefault="00B32E5E" w:rsidP="009D3285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Review and set aside  of ZPMC 1064 locomotives contract and just and equitable relief;</w:t>
      </w:r>
    </w:p>
    <w:p w:rsidR="009D3285" w:rsidRPr="009D3285" w:rsidRDefault="00B32E5E" w:rsidP="009D3285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Review and set aside Neotel CCTV cameras contract and just and equitable relief;</w:t>
      </w:r>
    </w:p>
    <w:p w:rsidR="009D3285" w:rsidRPr="009D3285" w:rsidRDefault="00B32E5E" w:rsidP="009D3285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Review and set aside Liebherr crane contracts where just and equitable relief  sought is that the settlement agreement of Liebherr is just and equitable remedy;</w:t>
      </w:r>
    </w:p>
    <w:p w:rsidR="009D3285" w:rsidRPr="009D3285" w:rsidRDefault="00B32E5E" w:rsidP="009D3285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Claims of R521,37m against Trillian and Regiments (both in liquidation) and former Transnet officials related to the transaction advisory services; and</w:t>
      </w:r>
    </w:p>
    <w:p w:rsidR="00B32E5E" w:rsidRPr="006135CA" w:rsidRDefault="00B32E5E" w:rsidP="009D3285">
      <w:pPr>
        <w:pStyle w:val="ListParagraph"/>
        <w:numPr>
          <w:ilvl w:val="0"/>
          <w:numId w:val="10"/>
        </w:numPr>
        <w:jc w:val="both"/>
        <w:textAlignment w:val="baseline"/>
        <w:rPr>
          <w:rFonts w:ascii="Arial" w:hAnsi="Arial" w:cs="Arial"/>
        </w:rPr>
      </w:pPr>
      <w:r w:rsidRPr="009D3285">
        <w:rPr>
          <w:rFonts w:ascii="Arial" w:eastAsiaTheme="minorEastAsia" w:hAnsi="Arial" w:cs="Arial"/>
          <w:color w:val="000000" w:themeColor="text1"/>
          <w:kern w:val="24"/>
          <w:lang w:val="en-ZA"/>
        </w:rPr>
        <w:t>CRRC interdict and forfeiture of CRRC funds in South Africa (SARS has executed against R4.9bn and it is unclear what will remain after tax assessments are completed).</w:t>
      </w:r>
    </w:p>
    <w:p w:rsidR="006135CA" w:rsidRPr="009D3285" w:rsidRDefault="006135CA" w:rsidP="006135CA">
      <w:pPr>
        <w:pStyle w:val="ListParagraph"/>
        <w:ind w:left="1440"/>
        <w:jc w:val="both"/>
        <w:textAlignment w:val="baseline"/>
        <w:rPr>
          <w:rFonts w:ascii="Arial" w:hAnsi="Arial" w:cs="Arial"/>
        </w:rPr>
      </w:pPr>
    </w:p>
    <w:p w:rsidR="00B32E5E" w:rsidRDefault="00B32E5E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  <w:r w:rsidRPr="00B32E5E">
        <w:rPr>
          <w:rFonts w:ascii="Arial" w:eastAsiaTheme="minorEastAsia" w:hAnsi="Arial" w:cs="Arial"/>
          <w:color w:val="000000" w:themeColor="text1"/>
          <w:kern w:val="24"/>
          <w:lang w:val="en-ZA"/>
        </w:rPr>
        <w:t>The DPE is currently finalising consultations with CIPC with the view to imminently launch director delinquency proceedings against 25 former directors of Transnet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B73E25" w:rsidRDefault="00B73E25" w:rsidP="00B32E5E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</w:p>
    <w:p w:rsidR="00B73E25" w:rsidRPr="00C4508B" w:rsidRDefault="00B73E25" w:rsidP="009D32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lang w:val="en-ZA"/>
        </w:rPr>
      </w:pPr>
      <w:r w:rsidRPr="00C4508B">
        <w:rPr>
          <w:rFonts w:ascii="Arial" w:eastAsiaTheme="minorEastAsia" w:hAnsi="Arial" w:cs="Arial"/>
          <w:b/>
          <w:bCs/>
          <w:color w:val="000000" w:themeColor="text1"/>
          <w:kern w:val="24"/>
          <w:lang w:val="en-ZA"/>
        </w:rPr>
        <w:t>South African Airways</w:t>
      </w:r>
    </w:p>
    <w:p w:rsidR="00B73E25" w:rsidRDefault="00B73E25" w:rsidP="00B32E5E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ZA"/>
        </w:rPr>
      </w:pPr>
    </w:p>
    <w:p w:rsidR="00B73E25" w:rsidRDefault="00B73E2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Value of contracts tainted by state capture that are under investigation amount to R1.8bn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6135CA" w:rsidRPr="006135CA" w:rsidRDefault="00B73E25" w:rsidP="006135C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10 criminal cases have been opened with law enforcement agencies for investigation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6135CA" w:rsidRPr="006135CA" w:rsidRDefault="006135CA" w:rsidP="006135CA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B73E25" w:rsidRPr="006135CA" w:rsidRDefault="00B73E25" w:rsidP="006135C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SAA and SIU are progressing with launching of the following civil claims:</w:t>
      </w:r>
    </w:p>
    <w:p w:rsidR="006135CA" w:rsidRPr="006135CA" w:rsidRDefault="00B73E25" w:rsidP="006135CA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ARR/JM Aviation – R1.bn relating to corruption between third parties, board members and employees of SAA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;</w:t>
      </w:r>
    </w:p>
    <w:p w:rsidR="006135CA" w:rsidRPr="006135CA" w:rsidRDefault="00B73E25" w:rsidP="006135CA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Recovery of R14m emanating from disposal of Ground Processing Units at a loss of R5.64m;</w:t>
      </w:r>
    </w:p>
    <w:p w:rsidR="006135CA" w:rsidRPr="006135CA" w:rsidRDefault="00B73E25" w:rsidP="006135CA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Motion papers filed at Special Tribunal to set aside a contract and recover R85m plus interest pertaining to leasing of aircraft from </w:t>
      </w:r>
      <w:proofErr w:type="spellStart"/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FlyoFofa</w:t>
      </w:r>
      <w:proofErr w:type="spellEnd"/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r w:rsidR="00401B6D"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Airways;</w:t>
      </w:r>
    </w:p>
    <w:p w:rsidR="00B73E25" w:rsidRPr="006135CA" w:rsidRDefault="00B73E25" w:rsidP="006135CA">
      <w:pPr>
        <w:pStyle w:val="ListParagraph"/>
        <w:numPr>
          <w:ilvl w:val="0"/>
          <w:numId w:val="11"/>
        </w:numPr>
        <w:jc w:val="both"/>
        <w:textAlignment w:val="baseline"/>
        <w:rPr>
          <w:rFonts w:ascii="Arial" w:hAnsi="Arial" w:cs="Arial"/>
        </w:rPr>
      </w:pPr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Airbus/Pembroke - R824m regarding tender irregularities </w:t>
      </w:r>
      <w:r w:rsidR="00401B6D"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and contract</w:t>
      </w:r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non-compliance issues on sale and lease back agreement of aircraft; </w:t>
      </w:r>
      <w:proofErr w:type="spellStart"/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Zonkesiswe</w:t>
      </w:r>
      <w:proofErr w:type="spellEnd"/>
      <w:r w:rsidRPr="006135CA">
        <w:rPr>
          <w:rFonts w:ascii="Arial" w:eastAsiaTheme="minorEastAsia" w:hAnsi="Arial" w:cs="Arial"/>
          <w:color w:val="000000" w:themeColor="text1"/>
          <w:kern w:val="24"/>
          <w:lang w:val="en-ZA"/>
        </w:rPr>
        <w:t>/IEPS Protection Services – R985m regarding irregular payments and contract extensions.</w:t>
      </w:r>
    </w:p>
    <w:p w:rsidR="00B73E25" w:rsidRPr="00B73E25" w:rsidRDefault="00B73E25" w:rsidP="00B73E25">
      <w:pPr>
        <w:pStyle w:val="ListParagraph"/>
        <w:jc w:val="both"/>
        <w:textAlignment w:val="baseline"/>
        <w:rPr>
          <w:rFonts w:ascii="Arial" w:hAnsi="Arial" w:cs="Arial"/>
        </w:rPr>
      </w:pPr>
    </w:p>
    <w:p w:rsidR="00B73E25" w:rsidRDefault="00B73E2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R130m savings registered concerning cancellation of a contract amounting to R170m that was awarded irregularly to </w:t>
      </w:r>
      <w:proofErr w:type="spellStart"/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Ugandra</w:t>
      </w:r>
      <w:proofErr w:type="spellEnd"/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/TATA (Tata Consultancy Services)</w:t>
      </w:r>
      <w:r>
        <w:rPr>
          <w:rFonts w:ascii="Arial" w:hAnsi="Arial" w:cs="Arial"/>
        </w:rPr>
        <w:t>.</w:t>
      </w:r>
    </w:p>
    <w:p w:rsidR="00B73E25" w:rsidRDefault="00B73E2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McKinsey (Sale of obsolete stock)</w:t>
      </w:r>
      <w:r w:rsidR="00ED7360"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- SIU</w:t>
      </w: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facilitated civil reimbursement of R14m contract by McKinsey</w:t>
      </w:r>
      <w:r>
        <w:rPr>
          <w:rFonts w:ascii="Arial" w:eastAsiaTheme="minorEastAsia" w:hAnsi="Arial" w:cs="Arial"/>
          <w:color w:val="000000" w:themeColor="text1"/>
          <w:kern w:val="24"/>
          <w:lang w:val="en-ZA"/>
        </w:rPr>
        <w:t>.</w:t>
      </w:r>
    </w:p>
    <w:p w:rsidR="00B73E25" w:rsidRDefault="00B73E2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1 former director (</w:t>
      </w:r>
      <w:proofErr w:type="spellStart"/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Yakwe</w:t>
      </w:r>
      <w:proofErr w:type="spellEnd"/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</w:t>
      </w:r>
      <w:proofErr w:type="spellStart"/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Kwinana</w:t>
      </w:r>
      <w:proofErr w:type="spellEnd"/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) was fined R6.1m and barred from practicing as a CA subsequent to a complaint laid by the department. </w:t>
      </w:r>
    </w:p>
    <w:p w:rsidR="00B73E25" w:rsidRPr="00B73E25" w:rsidRDefault="00B73E25" w:rsidP="009D32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The MOI of SAA was revised in </w:t>
      </w:r>
      <w:r w:rsidR="00ED7360"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>2019 to</w:t>
      </w:r>
      <w:r w:rsidRPr="00B73E25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do away with all board t</w:t>
      </w:r>
      <w:r w:rsidRPr="00B73E25">
        <w:rPr>
          <w:rFonts w:ascii="Arial" w:eastAsiaTheme="minorEastAsia" w:hAnsi="Arial" w:cs="Arial"/>
          <w:color w:val="000000" w:themeColor="text1"/>
          <w:kern w:val="24"/>
          <w:lang w:val="en-GB"/>
        </w:rPr>
        <w:t xml:space="preserve">ender </w:t>
      </w:r>
      <w:r w:rsidR="00ED7360" w:rsidRPr="00B73E25">
        <w:rPr>
          <w:rFonts w:ascii="Arial" w:eastAsiaTheme="minorEastAsia" w:hAnsi="Arial" w:cs="Arial"/>
          <w:color w:val="000000" w:themeColor="text1"/>
          <w:kern w:val="24"/>
          <w:lang w:val="en-GB"/>
        </w:rPr>
        <w:t>committees.</w:t>
      </w:r>
    </w:p>
    <w:p w:rsidR="00B73E25" w:rsidRPr="00C4508B" w:rsidRDefault="00B73E25" w:rsidP="00B32E5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B32E5E" w:rsidRPr="00C4508B" w:rsidRDefault="00C4508B" w:rsidP="009D3285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bCs/>
        </w:rPr>
      </w:pPr>
      <w:r w:rsidRPr="00C4508B">
        <w:rPr>
          <w:rFonts w:ascii="Arial" w:hAnsi="Arial" w:cs="Arial"/>
          <w:b/>
          <w:bCs/>
        </w:rPr>
        <w:t>Denel</w:t>
      </w:r>
    </w:p>
    <w:p w:rsidR="00C4508B" w:rsidRDefault="00C4508B" w:rsidP="00C4508B">
      <w:pPr>
        <w:ind w:left="360"/>
        <w:jc w:val="both"/>
        <w:textAlignment w:val="baseline"/>
        <w:rPr>
          <w:rFonts w:ascii="Arial" w:hAnsi="Arial" w:cs="Arial"/>
        </w:rPr>
      </w:pPr>
    </w:p>
    <w:p w:rsidR="00C4508B" w:rsidRPr="00C4508B" w:rsidRDefault="00C4508B" w:rsidP="009D328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4508B">
        <w:rPr>
          <w:rFonts w:ascii="Arial" w:eastAsiaTheme="minorEastAsia" w:hAnsi="Arial" w:cs="Arial"/>
          <w:color w:val="000000"/>
          <w:kern w:val="24"/>
          <w:lang w:val="en-ZA"/>
        </w:rPr>
        <w:t>Former board chairperson implicated in state capture referred to Law Society to prevent them from practicing</w:t>
      </w:r>
      <w:r>
        <w:rPr>
          <w:rFonts w:ascii="Arial" w:eastAsiaTheme="minorEastAsia" w:hAnsi="Arial" w:cs="Arial"/>
          <w:color w:val="000000"/>
          <w:kern w:val="24"/>
          <w:lang w:val="en-ZA"/>
        </w:rPr>
        <w:t>.</w:t>
      </w:r>
    </w:p>
    <w:p w:rsidR="00C4508B" w:rsidRPr="00C4508B" w:rsidRDefault="00C4508B" w:rsidP="009D328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4508B">
        <w:rPr>
          <w:rFonts w:ascii="Arial" w:eastAsiaTheme="minorEastAsia" w:hAnsi="Arial" w:cs="Arial"/>
          <w:color w:val="000000"/>
          <w:kern w:val="24"/>
          <w:lang w:val="en-ZA"/>
        </w:rPr>
        <w:t>All recommendations of criminal contained in the state capture report are under investigation by law enforcement agencies</w:t>
      </w:r>
      <w:r w:rsidR="006135CA">
        <w:rPr>
          <w:rFonts w:ascii="Arial" w:eastAsiaTheme="minorEastAsia" w:hAnsi="Arial" w:cs="Arial"/>
          <w:color w:val="000000"/>
          <w:kern w:val="24"/>
          <w:lang w:val="en-ZA"/>
        </w:rPr>
        <w:t>.</w:t>
      </w:r>
    </w:p>
    <w:p w:rsidR="00C4508B" w:rsidRPr="00C4508B" w:rsidRDefault="00C4508B" w:rsidP="009D328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4508B">
        <w:rPr>
          <w:rFonts w:ascii="Arial" w:eastAsiaTheme="minorEastAsia" w:hAnsi="Arial" w:cs="Arial"/>
          <w:color w:val="000000" w:themeColor="text1"/>
          <w:kern w:val="24"/>
          <w:lang w:val="en-ZA"/>
        </w:rPr>
        <w:t xml:space="preserve"> DPE is currently finalising consultations with CIPC with the view to imminently launch director delinquency proceedings against 9 former directors of Denel.</w:t>
      </w:r>
    </w:p>
    <w:p w:rsidR="00C4508B" w:rsidRPr="006135CA" w:rsidRDefault="00C4508B" w:rsidP="009D328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C4508B">
        <w:rPr>
          <w:rFonts w:ascii="Arial" w:eastAsiaTheme="minorEastAsia" w:hAnsi="Arial" w:cs="Arial"/>
          <w:color w:val="000000"/>
          <w:kern w:val="24"/>
          <w:lang w:val="en-ZA"/>
        </w:rPr>
        <w:t xml:space="preserve">Former director (Daniel </w:t>
      </w:r>
      <w:proofErr w:type="spellStart"/>
      <w:r w:rsidRPr="00C4508B">
        <w:rPr>
          <w:rFonts w:ascii="Arial" w:eastAsiaTheme="minorEastAsia" w:hAnsi="Arial" w:cs="Arial"/>
          <w:color w:val="000000"/>
          <w:kern w:val="24"/>
          <w:lang w:val="en-ZA"/>
        </w:rPr>
        <w:t>Mantsha</w:t>
      </w:r>
      <w:proofErr w:type="spellEnd"/>
      <w:r w:rsidRPr="00C4508B">
        <w:rPr>
          <w:rFonts w:ascii="Arial" w:eastAsiaTheme="minorEastAsia" w:hAnsi="Arial" w:cs="Arial"/>
          <w:color w:val="000000"/>
          <w:kern w:val="24"/>
          <w:lang w:val="en-ZA"/>
        </w:rPr>
        <w:t xml:space="preserve">) referred to LPC for discipline. </w:t>
      </w:r>
    </w:p>
    <w:p w:rsidR="006135CA" w:rsidRDefault="006135CA" w:rsidP="006135CA">
      <w:pPr>
        <w:kinsoku w:val="0"/>
        <w:overflowPunct w:val="0"/>
        <w:ind w:left="360"/>
        <w:textAlignment w:val="baseline"/>
        <w:rPr>
          <w:rFonts w:ascii="Arial" w:hAnsi="Arial" w:cs="Arial"/>
        </w:rPr>
      </w:pPr>
    </w:p>
    <w:p w:rsidR="006135CA" w:rsidRPr="006135CA" w:rsidRDefault="006135CA" w:rsidP="006135CA">
      <w:pPr>
        <w:kinsoku w:val="0"/>
        <w:overflowPunct w:val="0"/>
        <w:ind w:left="360"/>
        <w:textAlignment w:val="baseline"/>
        <w:rPr>
          <w:rFonts w:ascii="Arial" w:hAnsi="Arial" w:cs="Arial"/>
        </w:rPr>
      </w:pPr>
    </w:p>
    <w:p w:rsidR="00C4508B" w:rsidRDefault="00C4508B" w:rsidP="00C4508B">
      <w:pPr>
        <w:ind w:left="360"/>
        <w:jc w:val="both"/>
        <w:textAlignment w:val="baseline"/>
        <w:rPr>
          <w:rFonts w:ascii="Arial" w:hAnsi="Arial" w:cs="Arial"/>
        </w:rPr>
      </w:pPr>
    </w:p>
    <w:p w:rsidR="00C4508B" w:rsidRPr="00BA2DE7" w:rsidRDefault="00C4508B" w:rsidP="009D3285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b/>
          <w:bCs/>
        </w:rPr>
      </w:pPr>
      <w:r w:rsidRPr="00BA2DE7">
        <w:rPr>
          <w:rFonts w:ascii="Arial" w:hAnsi="Arial" w:cs="Arial"/>
          <w:b/>
          <w:bCs/>
        </w:rPr>
        <w:t>Alexkor</w:t>
      </w:r>
    </w:p>
    <w:p w:rsidR="00C4508B" w:rsidRDefault="00C4508B" w:rsidP="00C4508B">
      <w:pPr>
        <w:jc w:val="both"/>
        <w:textAlignment w:val="baseline"/>
        <w:rPr>
          <w:rFonts w:ascii="Arial" w:hAnsi="Arial" w:cs="Arial"/>
        </w:rPr>
      </w:pPr>
    </w:p>
    <w:p w:rsidR="00BA2DE7" w:rsidRPr="00BA2DE7" w:rsidRDefault="00BA2DE7" w:rsidP="009D3285">
      <w:pPr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BA2DE7">
        <w:rPr>
          <w:rFonts w:ascii="Arial" w:hAnsi="Arial" w:cs="Arial"/>
          <w:lang w:val="en-ZA"/>
        </w:rPr>
        <w:t>State capture report currently being analysed and cases being prepared for referral to law enforcement agencies.</w:t>
      </w:r>
    </w:p>
    <w:p w:rsidR="00BA2DE7" w:rsidRPr="00BA2DE7" w:rsidRDefault="00BA2DE7" w:rsidP="009D3285">
      <w:pPr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BA2DE7">
        <w:rPr>
          <w:rFonts w:ascii="Arial" w:hAnsi="Arial" w:cs="Arial"/>
          <w:lang w:val="en-ZA"/>
        </w:rPr>
        <w:t>All recommendations of criminal</w:t>
      </w:r>
      <w:r w:rsidR="000F67E5">
        <w:rPr>
          <w:rFonts w:ascii="Arial" w:hAnsi="Arial" w:cs="Arial"/>
          <w:lang w:val="en-ZA"/>
        </w:rPr>
        <w:t xml:space="preserve"> cases</w:t>
      </w:r>
      <w:r w:rsidRPr="00BA2DE7">
        <w:rPr>
          <w:rFonts w:ascii="Arial" w:hAnsi="Arial" w:cs="Arial"/>
          <w:lang w:val="en-ZA"/>
        </w:rPr>
        <w:t xml:space="preserve"> contained in the state capture report are under investigation by law enforcement agencies.</w:t>
      </w:r>
    </w:p>
    <w:p w:rsidR="00BA2DE7" w:rsidRPr="00DF58F6" w:rsidRDefault="00BA2DE7" w:rsidP="009D3285">
      <w:pPr>
        <w:numPr>
          <w:ilvl w:val="1"/>
          <w:numId w:val="1"/>
        </w:numPr>
        <w:jc w:val="both"/>
        <w:textAlignment w:val="baseline"/>
        <w:rPr>
          <w:rFonts w:ascii="Arial" w:hAnsi="Arial" w:cs="Arial"/>
        </w:rPr>
      </w:pPr>
      <w:r w:rsidRPr="00BA2DE7">
        <w:rPr>
          <w:rFonts w:ascii="Arial" w:hAnsi="Arial" w:cs="Arial"/>
          <w:lang w:val="en-ZA"/>
        </w:rPr>
        <w:t xml:space="preserve"> DPE is currently finalising consultations with CIPC with the view to imminently launch director delinquency proceedings against 25 former directors of Alexkor</w:t>
      </w:r>
      <w:r>
        <w:rPr>
          <w:rFonts w:ascii="Arial" w:hAnsi="Arial" w:cs="Arial"/>
          <w:lang w:val="en-ZA"/>
        </w:rPr>
        <w:t>.</w:t>
      </w:r>
    </w:p>
    <w:p w:rsidR="00DF58F6" w:rsidRDefault="00DF58F6" w:rsidP="00DF58F6">
      <w:pPr>
        <w:jc w:val="both"/>
        <w:textAlignment w:val="baseline"/>
        <w:rPr>
          <w:rFonts w:ascii="Arial" w:hAnsi="Arial" w:cs="Arial"/>
          <w:lang w:val="en-ZA"/>
        </w:rPr>
      </w:pPr>
    </w:p>
    <w:p w:rsidR="00DF58F6" w:rsidRPr="00BA2DE7" w:rsidRDefault="00DF58F6" w:rsidP="00DF58F6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ZA"/>
        </w:rPr>
        <w:t>In addition, many other initiatives are in place (</w:t>
      </w:r>
      <w:r w:rsidR="00A40DB0">
        <w:rPr>
          <w:rFonts w:ascii="Arial" w:hAnsi="Arial" w:cs="Arial"/>
          <w:lang w:val="en-ZA"/>
        </w:rPr>
        <w:t>e.g.,</w:t>
      </w:r>
      <w:r>
        <w:rPr>
          <w:rFonts w:ascii="Arial" w:hAnsi="Arial" w:cs="Arial"/>
          <w:lang w:val="en-ZA"/>
        </w:rPr>
        <w:t xml:space="preserve"> the intervention of government to take part of Eskom’s debt onto the sovereign balance sheet) to stabilize the SOEs. </w:t>
      </w:r>
    </w:p>
    <w:p w:rsidR="00B32E5E" w:rsidRPr="00B32E5E" w:rsidRDefault="00B32E5E" w:rsidP="00B32E5E">
      <w:pPr>
        <w:ind w:left="720"/>
        <w:jc w:val="both"/>
        <w:textAlignment w:val="baseline"/>
        <w:rPr>
          <w:rFonts w:ascii="Arial" w:hAnsi="Arial" w:cs="Arial"/>
        </w:rPr>
      </w:pPr>
    </w:p>
    <w:p w:rsidR="00AF22FE" w:rsidRPr="00460B23" w:rsidRDefault="00AF22FE" w:rsidP="00F13D8A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</w:rPr>
      </w:pPr>
    </w:p>
    <w:p w:rsidR="00AF22FE" w:rsidRPr="00526FC1" w:rsidRDefault="00AF22FE" w:rsidP="00F13D8A">
      <w:pPr>
        <w:ind w:left="284" w:right="-1193" w:hanging="284"/>
        <w:jc w:val="both"/>
        <w:rPr>
          <w:rFonts w:ascii="Arial" w:hAnsi="Arial" w:cs="Arial"/>
          <w:b/>
          <w:bCs/>
          <w:lang w:val="en-ZA"/>
        </w:rPr>
      </w:pPr>
      <w:r w:rsidRPr="00526FC1">
        <w:rPr>
          <w:rFonts w:ascii="Arial" w:hAnsi="Arial" w:cs="Arial"/>
          <w:b/>
          <w:bCs/>
          <w:lang w:val="en-ZA"/>
        </w:rPr>
        <w:t xml:space="preserve">Remarks:      </w:t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  <w:t xml:space="preserve">Reply: </w:t>
      </w:r>
      <w:r w:rsidRPr="00A40DB0">
        <w:rPr>
          <w:rFonts w:ascii="Arial" w:hAnsi="Arial" w:cs="Arial"/>
          <w:b/>
          <w:bCs/>
          <w:highlight w:val="yellow"/>
          <w:lang w:val="en-ZA"/>
        </w:rPr>
        <w:t>Approved</w:t>
      </w:r>
      <w:r w:rsidRPr="00526FC1">
        <w:rPr>
          <w:rFonts w:ascii="Arial" w:hAnsi="Arial" w:cs="Arial"/>
          <w:b/>
          <w:bCs/>
          <w:lang w:val="en-ZA"/>
        </w:rPr>
        <w:t xml:space="preserve"> / Not approved</w:t>
      </w:r>
    </w:p>
    <w:p w:rsidR="00AF22FE" w:rsidRPr="00526FC1" w:rsidRDefault="00AF22FE" w:rsidP="00F13D8A">
      <w:pPr>
        <w:ind w:left="284" w:hanging="284"/>
        <w:jc w:val="both"/>
        <w:rPr>
          <w:rFonts w:ascii="Arial" w:hAnsi="Arial" w:cs="Arial"/>
          <w:b/>
          <w:bCs/>
          <w:lang w:val="en-ZA"/>
        </w:rPr>
      </w:pPr>
    </w:p>
    <w:p w:rsidR="00AF22FE" w:rsidRPr="00526FC1" w:rsidRDefault="00AF22FE" w:rsidP="00F13D8A">
      <w:pPr>
        <w:ind w:left="284" w:hanging="284"/>
        <w:jc w:val="both"/>
        <w:rPr>
          <w:rFonts w:ascii="Arial" w:hAnsi="Arial" w:cs="Arial"/>
          <w:b/>
          <w:bCs/>
          <w:lang w:val="en-ZA"/>
        </w:rPr>
      </w:pPr>
    </w:p>
    <w:p w:rsidR="00AF22FE" w:rsidRPr="00526FC1" w:rsidRDefault="00AF22FE" w:rsidP="00F13D8A">
      <w:pPr>
        <w:ind w:left="284" w:hanging="284"/>
        <w:jc w:val="both"/>
        <w:rPr>
          <w:rFonts w:ascii="Arial" w:hAnsi="Arial" w:cs="Arial"/>
          <w:b/>
          <w:bCs/>
          <w:lang w:val="en-ZA"/>
        </w:rPr>
      </w:pPr>
    </w:p>
    <w:p w:rsidR="00AF22FE" w:rsidRPr="00526FC1" w:rsidRDefault="00AF22FE" w:rsidP="00F13D8A">
      <w:pPr>
        <w:ind w:left="284" w:hanging="284"/>
        <w:jc w:val="both"/>
        <w:rPr>
          <w:rFonts w:ascii="Arial" w:hAnsi="Arial" w:cs="Arial"/>
          <w:b/>
          <w:bCs/>
          <w:lang w:val="en-ZA"/>
        </w:rPr>
      </w:pPr>
    </w:p>
    <w:p w:rsidR="00AF22FE" w:rsidRPr="00526FC1" w:rsidRDefault="00185DB6" w:rsidP="00F13D8A">
      <w:pPr>
        <w:ind w:left="284" w:hanging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6FC1">
        <w:rPr>
          <w:rFonts w:ascii="Arial" w:hAnsi="Arial" w:cs="Arial"/>
          <w:b/>
          <w:bCs/>
          <w:lang w:val="en-ZA"/>
        </w:rPr>
        <w:t>Jacky Molisane</w:t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="00AF22FE" w:rsidRPr="00526FC1">
        <w:rPr>
          <w:rFonts w:ascii="Arial" w:hAnsi="Arial" w:cs="Arial"/>
          <w:b/>
          <w:bCs/>
          <w:lang w:val="en-ZA"/>
        </w:rPr>
        <w:tab/>
      </w:r>
      <w:r w:rsidR="00AF22FE" w:rsidRPr="00526FC1">
        <w:rPr>
          <w:rFonts w:ascii="Arial" w:hAnsi="Arial" w:cs="Arial"/>
          <w:b/>
          <w:bCs/>
          <w:lang w:val="en-ZA"/>
        </w:rPr>
        <w:tab/>
      </w:r>
      <w:r w:rsidR="00AF22FE" w:rsidRPr="00526FC1">
        <w:rPr>
          <w:rFonts w:ascii="Arial" w:hAnsi="Arial" w:cs="Arial"/>
          <w:b/>
          <w:bCs/>
          <w:lang w:val="en-ZA"/>
        </w:rPr>
        <w:tab/>
        <w:t>PJ Gordhan, MP</w:t>
      </w:r>
      <w:r w:rsidR="00AF22FE" w:rsidRPr="00526FC1">
        <w:rPr>
          <w:rFonts w:ascii="Arial" w:hAnsi="Arial" w:cs="Arial"/>
          <w:b/>
          <w:bCs/>
          <w:lang w:val="en-ZA"/>
        </w:rPr>
        <w:tab/>
      </w:r>
      <w:r w:rsidR="00AF22FE" w:rsidRPr="00526FC1">
        <w:rPr>
          <w:rFonts w:ascii="Arial" w:hAnsi="Arial" w:cs="Arial"/>
          <w:b/>
          <w:bCs/>
          <w:lang w:val="en-ZA"/>
        </w:rPr>
        <w:tab/>
      </w:r>
    </w:p>
    <w:p w:rsidR="00AF22FE" w:rsidRPr="00526FC1" w:rsidRDefault="00AF22FE" w:rsidP="00F13D8A">
      <w:pPr>
        <w:ind w:left="284" w:hanging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6FC1">
        <w:rPr>
          <w:rFonts w:ascii="Arial" w:hAnsi="Arial" w:cs="Arial"/>
          <w:b/>
          <w:bCs/>
          <w:lang w:val="en-ZA"/>
        </w:rPr>
        <w:t>Acting Director-General</w:t>
      </w:r>
      <w:r w:rsidRPr="00526FC1">
        <w:rPr>
          <w:rFonts w:ascii="Arial" w:hAnsi="Arial" w:cs="Arial"/>
          <w:b/>
          <w:bCs/>
          <w:lang w:val="en-ZA"/>
        </w:rPr>
        <w:tab/>
        <w:t xml:space="preserve">    </w:t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AF22FE" w:rsidRPr="00526FC1" w:rsidRDefault="00AF22FE" w:rsidP="00F13D8A">
      <w:pPr>
        <w:ind w:left="284" w:hanging="284"/>
        <w:contextualSpacing/>
        <w:jc w:val="both"/>
        <w:rPr>
          <w:rFonts w:ascii="Arial" w:hAnsi="Arial" w:cs="Arial"/>
          <w:b/>
          <w:bCs/>
          <w:lang w:val="en-ZA"/>
        </w:rPr>
      </w:pPr>
      <w:r w:rsidRPr="00526FC1">
        <w:rPr>
          <w:rFonts w:ascii="Arial" w:hAnsi="Arial" w:cs="Arial"/>
          <w:b/>
          <w:bCs/>
          <w:lang w:val="en-ZA"/>
        </w:rPr>
        <w:t>Date:</w:t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</w:r>
      <w:r w:rsidRPr="00526FC1">
        <w:rPr>
          <w:rFonts w:ascii="Arial" w:hAnsi="Arial" w:cs="Arial"/>
          <w:b/>
          <w:bCs/>
          <w:lang w:val="en-ZA"/>
        </w:rPr>
        <w:tab/>
        <w:t>Date:</w:t>
      </w:r>
    </w:p>
    <w:p w:rsidR="00AF22FE" w:rsidRPr="00526FC1" w:rsidRDefault="00AF22FE" w:rsidP="00AF22FE">
      <w:pPr>
        <w:spacing w:line="360" w:lineRule="auto"/>
        <w:jc w:val="both"/>
        <w:rPr>
          <w:rFonts w:ascii="Arial" w:hAnsi="Arial" w:cs="Arial"/>
          <w:lang w:val="en-ZA"/>
        </w:rPr>
      </w:pPr>
    </w:p>
    <w:p w:rsidR="00A524C0" w:rsidRPr="00526FC1" w:rsidRDefault="00A524C0" w:rsidP="00AF22FE"/>
    <w:sectPr w:rsidR="00A524C0" w:rsidRPr="00526FC1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66" w:rsidRDefault="00BA5B66" w:rsidP="00FA3019">
      <w:r>
        <w:separator/>
      </w:r>
    </w:p>
  </w:endnote>
  <w:endnote w:type="continuationSeparator" w:id="0">
    <w:p w:rsidR="00BA5B66" w:rsidRDefault="00BA5B66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66" w:rsidRDefault="00BA5B66" w:rsidP="00FA3019">
      <w:r>
        <w:separator/>
      </w:r>
    </w:p>
  </w:footnote>
  <w:footnote w:type="continuationSeparator" w:id="0">
    <w:p w:rsidR="00BA5B66" w:rsidRDefault="00BA5B66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008"/>
    <w:multiLevelType w:val="hybridMultilevel"/>
    <w:tmpl w:val="4EBABE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76AA8"/>
    <w:multiLevelType w:val="hybridMultilevel"/>
    <w:tmpl w:val="15A6BF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D12E1"/>
    <w:multiLevelType w:val="hybridMultilevel"/>
    <w:tmpl w:val="0D62A6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74081"/>
    <w:multiLevelType w:val="hybridMultilevel"/>
    <w:tmpl w:val="C41886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E769EF"/>
    <w:multiLevelType w:val="hybridMultilevel"/>
    <w:tmpl w:val="63FE70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D355BB"/>
    <w:multiLevelType w:val="multilevel"/>
    <w:tmpl w:val="D3D6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 w:themeColor="text1"/>
      </w:rPr>
    </w:lvl>
  </w:abstractNum>
  <w:abstractNum w:abstractNumId="6">
    <w:nsid w:val="40820759"/>
    <w:multiLevelType w:val="hybridMultilevel"/>
    <w:tmpl w:val="1CE6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25A21"/>
    <w:multiLevelType w:val="hybridMultilevel"/>
    <w:tmpl w:val="C9C4F8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A1D7B"/>
    <w:multiLevelType w:val="hybridMultilevel"/>
    <w:tmpl w:val="57A4C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F1100B"/>
    <w:multiLevelType w:val="hybridMultilevel"/>
    <w:tmpl w:val="496626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623342"/>
    <w:multiLevelType w:val="hybridMultilevel"/>
    <w:tmpl w:val="3C4C79D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3629D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0F083F"/>
    <w:rsid w:val="000F67E5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85DB6"/>
    <w:rsid w:val="00190B29"/>
    <w:rsid w:val="001B13C2"/>
    <w:rsid w:val="001B1903"/>
    <w:rsid w:val="001C647A"/>
    <w:rsid w:val="001D0510"/>
    <w:rsid w:val="001E09A9"/>
    <w:rsid w:val="001E0BD2"/>
    <w:rsid w:val="001E0C50"/>
    <w:rsid w:val="001F01D4"/>
    <w:rsid w:val="00210533"/>
    <w:rsid w:val="00235105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2AE2"/>
    <w:rsid w:val="002F33F8"/>
    <w:rsid w:val="002F5F24"/>
    <w:rsid w:val="00307D62"/>
    <w:rsid w:val="00316C57"/>
    <w:rsid w:val="00336FC5"/>
    <w:rsid w:val="003468A9"/>
    <w:rsid w:val="00373DD4"/>
    <w:rsid w:val="00374703"/>
    <w:rsid w:val="00374F17"/>
    <w:rsid w:val="0038408B"/>
    <w:rsid w:val="00392E3C"/>
    <w:rsid w:val="003E4860"/>
    <w:rsid w:val="003F14A7"/>
    <w:rsid w:val="00401B6D"/>
    <w:rsid w:val="00403AA3"/>
    <w:rsid w:val="00410A5C"/>
    <w:rsid w:val="00435FE3"/>
    <w:rsid w:val="00441AEA"/>
    <w:rsid w:val="00450239"/>
    <w:rsid w:val="00460B23"/>
    <w:rsid w:val="00461B9E"/>
    <w:rsid w:val="0047791E"/>
    <w:rsid w:val="004A4357"/>
    <w:rsid w:val="004B03E1"/>
    <w:rsid w:val="004C6935"/>
    <w:rsid w:val="00500074"/>
    <w:rsid w:val="00526FC1"/>
    <w:rsid w:val="00534DDF"/>
    <w:rsid w:val="0054518F"/>
    <w:rsid w:val="005703CE"/>
    <w:rsid w:val="005B658F"/>
    <w:rsid w:val="005D2794"/>
    <w:rsid w:val="005D7039"/>
    <w:rsid w:val="005E2C53"/>
    <w:rsid w:val="00602F7C"/>
    <w:rsid w:val="006035B5"/>
    <w:rsid w:val="00612054"/>
    <w:rsid w:val="006135CA"/>
    <w:rsid w:val="0066527A"/>
    <w:rsid w:val="00665425"/>
    <w:rsid w:val="006765EE"/>
    <w:rsid w:val="006D650A"/>
    <w:rsid w:val="006E04BF"/>
    <w:rsid w:val="006E226F"/>
    <w:rsid w:val="006E28F9"/>
    <w:rsid w:val="00703F8C"/>
    <w:rsid w:val="00716A5F"/>
    <w:rsid w:val="007410D8"/>
    <w:rsid w:val="00741768"/>
    <w:rsid w:val="00753188"/>
    <w:rsid w:val="00755B3A"/>
    <w:rsid w:val="00763854"/>
    <w:rsid w:val="00767C12"/>
    <w:rsid w:val="00780828"/>
    <w:rsid w:val="007840BD"/>
    <w:rsid w:val="00792DF7"/>
    <w:rsid w:val="007A77D7"/>
    <w:rsid w:val="007B2942"/>
    <w:rsid w:val="007B49D3"/>
    <w:rsid w:val="007C48D9"/>
    <w:rsid w:val="007D7D6B"/>
    <w:rsid w:val="007F2076"/>
    <w:rsid w:val="00802DB4"/>
    <w:rsid w:val="00824E8E"/>
    <w:rsid w:val="0083132F"/>
    <w:rsid w:val="00837E4D"/>
    <w:rsid w:val="00852422"/>
    <w:rsid w:val="008856E6"/>
    <w:rsid w:val="00892DFB"/>
    <w:rsid w:val="008968F5"/>
    <w:rsid w:val="008B6640"/>
    <w:rsid w:val="008C4098"/>
    <w:rsid w:val="008C4279"/>
    <w:rsid w:val="008E1A9C"/>
    <w:rsid w:val="0090365F"/>
    <w:rsid w:val="00905B7B"/>
    <w:rsid w:val="00930D31"/>
    <w:rsid w:val="0094134F"/>
    <w:rsid w:val="00942881"/>
    <w:rsid w:val="00947C63"/>
    <w:rsid w:val="00953D13"/>
    <w:rsid w:val="00956AE9"/>
    <w:rsid w:val="00957EA0"/>
    <w:rsid w:val="009A53BF"/>
    <w:rsid w:val="009A73AF"/>
    <w:rsid w:val="009B128B"/>
    <w:rsid w:val="009B4F7B"/>
    <w:rsid w:val="009B6439"/>
    <w:rsid w:val="009C4542"/>
    <w:rsid w:val="009C50D7"/>
    <w:rsid w:val="009D3285"/>
    <w:rsid w:val="00A00E8D"/>
    <w:rsid w:val="00A164FA"/>
    <w:rsid w:val="00A207A4"/>
    <w:rsid w:val="00A21970"/>
    <w:rsid w:val="00A2660A"/>
    <w:rsid w:val="00A32B8B"/>
    <w:rsid w:val="00A3548B"/>
    <w:rsid w:val="00A40DB0"/>
    <w:rsid w:val="00A45C08"/>
    <w:rsid w:val="00A524C0"/>
    <w:rsid w:val="00A544B6"/>
    <w:rsid w:val="00A565BB"/>
    <w:rsid w:val="00A77EA7"/>
    <w:rsid w:val="00A8132B"/>
    <w:rsid w:val="00A83BB5"/>
    <w:rsid w:val="00A96EFA"/>
    <w:rsid w:val="00AB620F"/>
    <w:rsid w:val="00AD0830"/>
    <w:rsid w:val="00AD433D"/>
    <w:rsid w:val="00AE07A0"/>
    <w:rsid w:val="00AE25BC"/>
    <w:rsid w:val="00AF22FE"/>
    <w:rsid w:val="00B04EA7"/>
    <w:rsid w:val="00B12A94"/>
    <w:rsid w:val="00B2361A"/>
    <w:rsid w:val="00B32E5E"/>
    <w:rsid w:val="00B34D01"/>
    <w:rsid w:val="00B43A3C"/>
    <w:rsid w:val="00B4525A"/>
    <w:rsid w:val="00B57818"/>
    <w:rsid w:val="00B66A10"/>
    <w:rsid w:val="00B73E25"/>
    <w:rsid w:val="00B81C28"/>
    <w:rsid w:val="00B81C99"/>
    <w:rsid w:val="00B93385"/>
    <w:rsid w:val="00BA2DE7"/>
    <w:rsid w:val="00BA5B66"/>
    <w:rsid w:val="00BA7FA4"/>
    <w:rsid w:val="00BB2BA0"/>
    <w:rsid w:val="00BB2CDD"/>
    <w:rsid w:val="00BB480D"/>
    <w:rsid w:val="00BC0B25"/>
    <w:rsid w:val="00BC24E0"/>
    <w:rsid w:val="00BC60BD"/>
    <w:rsid w:val="00BD0503"/>
    <w:rsid w:val="00BD5CC4"/>
    <w:rsid w:val="00C11460"/>
    <w:rsid w:val="00C160A3"/>
    <w:rsid w:val="00C376CE"/>
    <w:rsid w:val="00C427BC"/>
    <w:rsid w:val="00C4508B"/>
    <w:rsid w:val="00C46606"/>
    <w:rsid w:val="00C52D62"/>
    <w:rsid w:val="00C76C58"/>
    <w:rsid w:val="00CB5194"/>
    <w:rsid w:val="00CB7B00"/>
    <w:rsid w:val="00CC627B"/>
    <w:rsid w:val="00CC6424"/>
    <w:rsid w:val="00CE72A9"/>
    <w:rsid w:val="00CF1AE8"/>
    <w:rsid w:val="00D049E3"/>
    <w:rsid w:val="00D35AF2"/>
    <w:rsid w:val="00D41652"/>
    <w:rsid w:val="00D42508"/>
    <w:rsid w:val="00D543BA"/>
    <w:rsid w:val="00D6168F"/>
    <w:rsid w:val="00D76A4B"/>
    <w:rsid w:val="00D80F16"/>
    <w:rsid w:val="00D828BC"/>
    <w:rsid w:val="00D93D87"/>
    <w:rsid w:val="00D97AE3"/>
    <w:rsid w:val="00DB311F"/>
    <w:rsid w:val="00DB4DD0"/>
    <w:rsid w:val="00DE52C7"/>
    <w:rsid w:val="00DF2645"/>
    <w:rsid w:val="00DF58F6"/>
    <w:rsid w:val="00E06376"/>
    <w:rsid w:val="00E25C2E"/>
    <w:rsid w:val="00E36A15"/>
    <w:rsid w:val="00E4134B"/>
    <w:rsid w:val="00E41411"/>
    <w:rsid w:val="00E46280"/>
    <w:rsid w:val="00E46F4E"/>
    <w:rsid w:val="00E633D5"/>
    <w:rsid w:val="00E72532"/>
    <w:rsid w:val="00E73ABB"/>
    <w:rsid w:val="00E82E1D"/>
    <w:rsid w:val="00E83FF9"/>
    <w:rsid w:val="00E86264"/>
    <w:rsid w:val="00EA1E2C"/>
    <w:rsid w:val="00EB2717"/>
    <w:rsid w:val="00EB74CD"/>
    <w:rsid w:val="00ED7360"/>
    <w:rsid w:val="00EE5757"/>
    <w:rsid w:val="00EF659E"/>
    <w:rsid w:val="00F076CA"/>
    <w:rsid w:val="00F13D8A"/>
    <w:rsid w:val="00F31673"/>
    <w:rsid w:val="00F550AD"/>
    <w:rsid w:val="00F62BDA"/>
    <w:rsid w:val="00F651DA"/>
    <w:rsid w:val="00F81360"/>
    <w:rsid w:val="00F85ACD"/>
    <w:rsid w:val="00FA1518"/>
    <w:rsid w:val="00FA2EA9"/>
    <w:rsid w:val="00FA3019"/>
    <w:rsid w:val="00FA7ED8"/>
    <w:rsid w:val="00FD22B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58F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B658F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5B658F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B658F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5B658F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22F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22FE"/>
    <w:rPr>
      <w:rFonts w:ascii="Arial" w:eastAsia="SimSun" w:hAnsi="Arial" w:cs="Arial"/>
      <w:b/>
      <w:bCs/>
      <w:sz w:val="32"/>
      <w:lang w:val="en-GB"/>
    </w:rPr>
  </w:style>
  <w:style w:type="paragraph" w:styleId="NormalWeb">
    <w:name w:val="Normal (Web)"/>
    <w:basedOn w:val="Normal"/>
    <w:uiPriority w:val="99"/>
    <w:unhideWhenUsed/>
    <w:rsid w:val="006035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25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0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9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5BA8-F947-4BB2-B614-E9067132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9381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2023-05-19T15:02:00Z</cp:lastPrinted>
  <dcterms:created xsi:type="dcterms:W3CDTF">2023-06-21T10:13:00Z</dcterms:created>
  <dcterms:modified xsi:type="dcterms:W3CDTF">2023-06-21T10:13:00Z</dcterms:modified>
</cp:coreProperties>
</file>