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05D01" w:rsidRPr="00DC6183" w:rsidRDefault="00D05D01" w:rsidP="00D05D01">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D05D01" w:rsidRPr="00DC6183" w:rsidRDefault="00D05D01" w:rsidP="00D05D01">
      <w:pPr>
        <w:jc w:val="center"/>
        <w:rPr>
          <w:rFonts w:ascii="Arial" w:hAnsi="Arial" w:cs="Arial"/>
          <w:b/>
          <w:bCs/>
          <w:lang w:val="en-ZA"/>
        </w:rPr>
      </w:pPr>
      <w:r w:rsidRPr="00DC6183">
        <w:rPr>
          <w:rFonts w:ascii="Arial" w:hAnsi="Arial" w:cs="Arial"/>
          <w:b/>
          <w:bCs/>
          <w:lang w:val="en-ZA"/>
        </w:rPr>
        <w:t>FOR WRITTEN REPLY</w:t>
      </w:r>
    </w:p>
    <w:p w:rsidR="00D05D01" w:rsidRPr="00DC6183" w:rsidRDefault="00D05D01" w:rsidP="00D05D0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1741</w:t>
      </w:r>
    </w:p>
    <w:p w:rsidR="00D05D01" w:rsidRPr="00DC6183" w:rsidRDefault="00D05D01" w:rsidP="00D05D0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21</w:t>
      </w:r>
    </w:p>
    <w:p w:rsidR="00D05D01" w:rsidRPr="00FF2AAB" w:rsidRDefault="00D05D01" w:rsidP="00D05D0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21</w:t>
      </w:r>
    </w:p>
    <w:p w:rsidR="00D05D01" w:rsidRPr="00F06F83" w:rsidRDefault="00D05D01" w:rsidP="00D05D01">
      <w:pPr>
        <w:spacing w:before="100" w:beforeAutospacing="1" w:after="100" w:afterAutospacing="1" w:line="360" w:lineRule="auto"/>
        <w:ind w:left="720" w:hanging="720"/>
        <w:jc w:val="both"/>
        <w:outlineLvl w:val="0"/>
        <w:rPr>
          <w:rFonts w:ascii="Arial" w:hAnsi="Arial" w:cs="Arial"/>
          <w:b/>
          <w:bCs/>
          <w:lang w:val="en-ZA"/>
        </w:rPr>
      </w:pPr>
      <w:r w:rsidRPr="00F06F83">
        <w:rPr>
          <w:rFonts w:ascii="Arial" w:hAnsi="Arial" w:cs="Arial"/>
          <w:b/>
          <w:lang w:val="en-ZA"/>
        </w:rPr>
        <w:t>Mr</w:t>
      </w:r>
      <w:r w:rsidRPr="00F06F83">
        <w:rPr>
          <w:rFonts w:ascii="Arial" w:hAnsi="Arial" w:cs="Arial"/>
          <w:b/>
          <w:bCs/>
          <w:lang w:val="en-ZA"/>
        </w:rPr>
        <w:t xml:space="preserve"> M N Nxumalo (IFP) to ask the Minister of Higher Education, Science and Innovation</w:t>
      </w:r>
      <w:r w:rsidR="003A53E5" w:rsidRPr="00F06F83">
        <w:rPr>
          <w:rFonts w:ascii="Arial" w:hAnsi="Arial" w:cs="Arial"/>
          <w:b/>
          <w:bCs/>
          <w:lang w:val="en-ZA"/>
        </w:rPr>
        <w:fldChar w:fldCharType="begin"/>
      </w:r>
      <w:r w:rsidRPr="00F06F83">
        <w:rPr>
          <w:rFonts w:ascii="Arial" w:hAnsi="Arial" w:cs="Arial"/>
          <w:lang w:val="en-ZA"/>
        </w:rPr>
        <w:instrText xml:space="preserve"> XE "</w:instrText>
      </w:r>
      <w:r w:rsidRPr="00F06F83">
        <w:rPr>
          <w:rFonts w:ascii="Arial" w:hAnsi="Arial" w:cs="Arial"/>
          <w:b/>
          <w:lang w:val="en-ZA"/>
        </w:rPr>
        <w:instrText>Higher Education, Science and Innovation</w:instrText>
      </w:r>
      <w:r w:rsidRPr="00F06F83">
        <w:rPr>
          <w:rFonts w:ascii="Arial" w:hAnsi="Arial" w:cs="Arial"/>
          <w:lang w:val="en-ZA"/>
        </w:rPr>
        <w:instrText xml:space="preserve">" </w:instrText>
      </w:r>
      <w:r w:rsidR="003A53E5" w:rsidRPr="00F06F83">
        <w:rPr>
          <w:rFonts w:ascii="Arial" w:hAnsi="Arial" w:cs="Arial"/>
          <w:b/>
          <w:bCs/>
          <w:lang w:val="en-ZA"/>
        </w:rPr>
        <w:fldChar w:fldCharType="end"/>
      </w:r>
      <w:r w:rsidRPr="00F06F83">
        <w:rPr>
          <w:rFonts w:ascii="Arial" w:hAnsi="Arial" w:cs="Arial"/>
          <w:b/>
          <w:bCs/>
          <w:lang w:val="en-ZA"/>
        </w:rPr>
        <w:t>:</w:t>
      </w:r>
    </w:p>
    <w:p w:rsidR="00D05D01" w:rsidRPr="00DE090B" w:rsidRDefault="00D05D01" w:rsidP="00D05D01">
      <w:pPr>
        <w:spacing w:before="100" w:beforeAutospacing="1" w:after="100" w:afterAutospacing="1" w:line="360" w:lineRule="auto"/>
        <w:ind w:left="720"/>
        <w:jc w:val="both"/>
        <w:outlineLvl w:val="0"/>
        <w:rPr>
          <w:rFonts w:ascii="Arial" w:hAnsi="Arial" w:cs="Arial"/>
          <w:lang w:val="en-ZA"/>
        </w:rPr>
      </w:pPr>
      <w:r w:rsidRPr="00DE090B">
        <w:rPr>
          <w:rFonts w:ascii="Arial" w:hAnsi="Arial" w:cs="Arial"/>
          <w:lang w:val="en-ZA"/>
        </w:rPr>
        <w:t xml:space="preserve">(a) What other strategies, besides new stipulations on courses funded by the National Student Financial Aid Scheme, is the Government adopting and implementing to encourage the uptake of </w:t>
      </w:r>
      <w:r w:rsidRPr="00DE090B">
        <w:rPr>
          <w:rFonts w:ascii="Arial" w:hAnsi="Arial" w:cs="Arial"/>
          <w:bCs/>
          <w:lang w:val="en-ZA"/>
        </w:rPr>
        <w:t>science</w:t>
      </w:r>
      <w:r w:rsidRPr="00DE090B">
        <w:rPr>
          <w:rFonts w:ascii="Arial" w:hAnsi="Arial" w:cs="Arial"/>
          <w:lang w:val="en-ZA"/>
        </w:rPr>
        <w:t>, technology, engineering and mathematics and related courses in 2021 and (b) how are such strategies expected to influence (</w:t>
      </w:r>
      <w:proofErr w:type="spellStart"/>
      <w:r w:rsidRPr="00DE090B">
        <w:rPr>
          <w:rFonts w:ascii="Arial" w:hAnsi="Arial" w:cs="Arial"/>
          <w:lang w:val="en-ZA"/>
        </w:rPr>
        <w:t>i</w:t>
      </w:r>
      <w:proofErr w:type="spellEnd"/>
      <w:r w:rsidRPr="00DE090B">
        <w:rPr>
          <w:rFonts w:ascii="Arial" w:hAnsi="Arial" w:cs="Arial"/>
          <w:lang w:val="en-ZA"/>
        </w:rPr>
        <w:t>) universities in general and (ii) the offering of social sciences and humanities in particular?</w:t>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sidRPr="00DE090B">
        <w:rPr>
          <w:rFonts w:ascii="Arial" w:hAnsi="Arial" w:cs="Arial"/>
          <w:lang w:val="en-ZA"/>
        </w:rPr>
        <w:tab/>
      </w:r>
      <w:r>
        <w:rPr>
          <w:rFonts w:ascii="Arial" w:hAnsi="Arial" w:cs="Arial"/>
          <w:lang w:val="en-ZA"/>
        </w:rPr>
        <w:tab/>
      </w:r>
      <w:r w:rsidRPr="00DE090B">
        <w:rPr>
          <w:rFonts w:ascii="Arial" w:hAnsi="Arial" w:cs="Arial"/>
          <w:b/>
          <w:lang w:val="en-ZA"/>
        </w:rPr>
        <w:t>NW1952E</w:t>
      </w: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Default="00D05D01" w:rsidP="00D05D01">
      <w:pPr>
        <w:spacing w:before="100" w:beforeAutospacing="1" w:after="100" w:afterAutospacing="1" w:line="360" w:lineRule="auto"/>
        <w:jc w:val="both"/>
        <w:outlineLvl w:val="0"/>
        <w:rPr>
          <w:rFonts w:ascii="Arial" w:hAnsi="Arial" w:cs="Arial"/>
          <w:b/>
        </w:rPr>
      </w:pPr>
    </w:p>
    <w:p w:rsidR="00D05D01" w:rsidRPr="00FD745A" w:rsidRDefault="00D05D01" w:rsidP="00D05D01">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D05D01" w:rsidRPr="009D6B6F" w:rsidRDefault="00D05D01" w:rsidP="00D05D01">
      <w:pPr>
        <w:spacing w:before="100" w:beforeAutospacing="1" w:after="100" w:afterAutospacing="1" w:line="360" w:lineRule="auto"/>
        <w:ind w:left="540"/>
        <w:jc w:val="both"/>
        <w:rPr>
          <w:rFonts w:ascii="Arial" w:eastAsia="Times New Roman" w:hAnsi="Arial" w:cs="Arial"/>
          <w:lang w:val="en-ZA" w:eastAsia="en-ZA"/>
        </w:rPr>
      </w:pPr>
      <w:r w:rsidRPr="009D6B6F">
        <w:rPr>
          <w:rFonts w:ascii="Arial" w:eastAsia="Times New Roman" w:hAnsi="Arial" w:cs="Arial"/>
          <w:lang w:val="en-ZA" w:eastAsia="en-ZA"/>
        </w:rPr>
        <w:t>(a) Since the introduction of the Performance Monitoring and Evaluation System in 2010 and subsequent Medium-Term Strategic Framework, the Department has been engaging with universities through enrolment planning on their targets for scarce skills areas.  In the new enrolment planning cycle, the targets for first time entering students into the scarce skills areas of engineering, life and physical sciences, human health, animal health and vet science, and teacher education are indicated in Table 1 below:</w:t>
      </w:r>
    </w:p>
    <w:tbl>
      <w:tblPr>
        <w:tblW w:w="9262" w:type="dxa"/>
        <w:tblCellSpacing w:w="15" w:type="dxa"/>
        <w:tblCellMar>
          <w:top w:w="15" w:type="dxa"/>
          <w:left w:w="15" w:type="dxa"/>
          <w:bottom w:w="15" w:type="dxa"/>
          <w:right w:w="15" w:type="dxa"/>
        </w:tblCellMar>
        <w:tblLook w:val="04A0"/>
      </w:tblPr>
      <w:tblGrid>
        <w:gridCol w:w="1924"/>
        <w:gridCol w:w="1219"/>
        <w:gridCol w:w="1221"/>
        <w:gridCol w:w="1221"/>
        <w:gridCol w:w="1220"/>
        <w:gridCol w:w="1221"/>
        <w:gridCol w:w="1236"/>
      </w:tblGrid>
      <w:tr w:rsidR="00D05D01" w:rsidRPr="009D6B6F" w:rsidTr="00842E9B">
        <w:trPr>
          <w:trHeight w:val="162"/>
          <w:tblCellSpacing w:w="15" w:type="dxa"/>
        </w:trPr>
        <w:tc>
          <w:tcPr>
            <w:tcW w:w="9262" w:type="dxa"/>
            <w:gridSpan w:val="7"/>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TABLE 1: 2020 to 2025 Proposed targets for first time entering students in scarce skills</w:t>
            </w:r>
          </w:p>
        </w:tc>
      </w:tr>
      <w:tr w:rsidR="00D05D01" w:rsidRPr="009D6B6F" w:rsidTr="00842E9B">
        <w:trPr>
          <w:trHeight w:val="195"/>
          <w:tblCellSpacing w:w="15" w:type="dxa"/>
        </w:trPr>
        <w:tc>
          <w:tcPr>
            <w:tcW w:w="1914" w:type="dxa"/>
            <w:tcBorders>
              <w:top w:val="nil"/>
              <w:left w:val="nil"/>
              <w:bottom w:val="nil"/>
              <w:right w:val="nil"/>
            </w:tcBorders>
            <w:vAlign w:val="bottom"/>
            <w:hideMark/>
          </w:tcPr>
          <w:p w:rsidR="00D05D01" w:rsidRPr="009D6B6F" w:rsidRDefault="00D05D01" w:rsidP="00842E9B">
            <w:pPr>
              <w:spacing w:after="0" w:line="360" w:lineRule="auto"/>
              <w:jc w:val="both"/>
              <w:rPr>
                <w:rFonts w:ascii="Arial" w:eastAsia="Times New Roman" w:hAnsi="Arial" w:cs="Arial"/>
                <w:lang w:val="en-ZA" w:eastAsia="en-ZA"/>
              </w:rPr>
            </w:pPr>
            <w:r w:rsidRPr="009D6B6F">
              <w:rPr>
                <w:rFonts w:ascii="Arial" w:eastAsia="Times New Roman" w:hAnsi="Arial" w:cs="Arial"/>
                <w:lang w:val="en-ZA" w:eastAsia="en-ZA"/>
              </w:rPr>
              <w:t> </w:t>
            </w:r>
          </w:p>
        </w:tc>
        <w:tc>
          <w:tcPr>
            <w:tcW w:w="122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2020</w:t>
            </w:r>
          </w:p>
        </w:tc>
        <w:tc>
          <w:tcPr>
            <w:tcW w:w="1225"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2021</w:t>
            </w:r>
          </w:p>
        </w:tc>
        <w:tc>
          <w:tcPr>
            <w:tcW w:w="1225"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2022</w:t>
            </w:r>
          </w:p>
        </w:tc>
        <w:tc>
          <w:tcPr>
            <w:tcW w:w="122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2023</w:t>
            </w:r>
          </w:p>
        </w:tc>
        <w:tc>
          <w:tcPr>
            <w:tcW w:w="1225"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2024</w:t>
            </w:r>
          </w:p>
        </w:tc>
        <w:tc>
          <w:tcPr>
            <w:tcW w:w="1225"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2025</w:t>
            </w:r>
          </w:p>
        </w:tc>
      </w:tr>
      <w:tr w:rsidR="00D05D01" w:rsidRPr="009D6B6F" w:rsidTr="00842E9B">
        <w:trPr>
          <w:trHeight w:val="230"/>
          <w:tblCellSpacing w:w="15" w:type="dxa"/>
        </w:trPr>
        <w:tc>
          <w:tcPr>
            <w:tcW w:w="191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Engineering</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16 152</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16 647</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17 085</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17 639</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18 100</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18 317</w:t>
            </w:r>
          </w:p>
        </w:tc>
      </w:tr>
      <w:tr w:rsidR="00D05D01" w:rsidRPr="009D6B6F" w:rsidTr="00842E9B">
        <w:trPr>
          <w:trHeight w:val="230"/>
          <w:tblCellSpacing w:w="15" w:type="dxa"/>
        </w:trPr>
        <w:tc>
          <w:tcPr>
            <w:tcW w:w="191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rPr>
                <w:rFonts w:ascii="Arial" w:eastAsia="Times New Roman" w:hAnsi="Arial" w:cs="Arial"/>
                <w:lang w:val="en-ZA" w:eastAsia="en-ZA"/>
              </w:rPr>
            </w:pPr>
            <w:r w:rsidRPr="009D6B6F">
              <w:rPr>
                <w:rFonts w:ascii="Arial" w:eastAsia="Times New Roman" w:hAnsi="Arial" w:cs="Arial"/>
                <w:lang w:val="en-ZA" w:eastAsia="en-ZA"/>
              </w:rPr>
              <w:t>Life and Physical Science</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16 948</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17 161</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17 584</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17 391</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17 459</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17 614</w:t>
            </w:r>
          </w:p>
        </w:tc>
      </w:tr>
      <w:tr w:rsidR="00D05D01" w:rsidRPr="009D6B6F" w:rsidTr="00842E9B">
        <w:trPr>
          <w:trHeight w:val="230"/>
          <w:tblCellSpacing w:w="15" w:type="dxa"/>
        </w:trPr>
        <w:tc>
          <w:tcPr>
            <w:tcW w:w="191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Human Health</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9 796</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10 155</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10 418</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10 838</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11 155</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11 516</w:t>
            </w:r>
          </w:p>
        </w:tc>
      </w:tr>
      <w:tr w:rsidR="00D05D01" w:rsidRPr="009D6B6F" w:rsidTr="00842E9B">
        <w:trPr>
          <w:trHeight w:val="230"/>
          <w:tblCellSpacing w:w="15" w:type="dxa"/>
        </w:trPr>
        <w:tc>
          <w:tcPr>
            <w:tcW w:w="191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rPr>
                <w:rFonts w:ascii="Arial" w:eastAsia="Times New Roman" w:hAnsi="Arial" w:cs="Arial"/>
                <w:lang w:val="en-ZA" w:eastAsia="en-ZA"/>
              </w:rPr>
            </w:pPr>
            <w:r w:rsidRPr="009D6B6F">
              <w:rPr>
                <w:rFonts w:ascii="Arial" w:eastAsia="Times New Roman" w:hAnsi="Arial" w:cs="Arial"/>
                <w:lang w:val="en-ZA" w:eastAsia="en-ZA"/>
              </w:rPr>
              <w:t>Animal</w:t>
            </w:r>
            <w:r>
              <w:rPr>
                <w:rFonts w:ascii="Arial" w:eastAsia="Times New Roman" w:hAnsi="Arial" w:cs="Arial"/>
                <w:lang w:val="en-ZA" w:eastAsia="en-ZA"/>
              </w:rPr>
              <w:t xml:space="preserve"> </w:t>
            </w:r>
            <w:r w:rsidRPr="009D6B6F">
              <w:rPr>
                <w:rFonts w:ascii="Arial" w:eastAsia="Times New Roman" w:hAnsi="Arial" w:cs="Arial"/>
                <w:lang w:val="en-ZA" w:eastAsia="en-ZA"/>
              </w:rPr>
              <w:t>and Veterinary Science</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1 116</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1 154</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1 194</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1 209</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1 229</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1 257</w:t>
            </w:r>
          </w:p>
        </w:tc>
      </w:tr>
      <w:tr w:rsidR="00D05D01" w:rsidRPr="009D6B6F" w:rsidTr="00842E9B">
        <w:trPr>
          <w:trHeight w:val="230"/>
          <w:tblCellSpacing w:w="15" w:type="dxa"/>
        </w:trPr>
        <w:tc>
          <w:tcPr>
            <w:tcW w:w="191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rPr>
                <w:rFonts w:ascii="Arial" w:eastAsia="Times New Roman" w:hAnsi="Arial" w:cs="Arial"/>
                <w:lang w:val="en-ZA" w:eastAsia="en-ZA"/>
              </w:rPr>
            </w:pPr>
            <w:r w:rsidRPr="009D6B6F">
              <w:rPr>
                <w:rFonts w:ascii="Arial" w:eastAsia="Times New Roman" w:hAnsi="Arial" w:cs="Arial"/>
                <w:lang w:val="en-ZA" w:eastAsia="en-ZA"/>
              </w:rPr>
              <w:t>Initial Teacher Education</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22 752</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22 746</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22 788</w:t>
            </w:r>
          </w:p>
        </w:tc>
        <w:tc>
          <w:tcPr>
            <w:tcW w:w="1224"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22 855</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22 951</w:t>
            </w:r>
          </w:p>
        </w:tc>
        <w:tc>
          <w:tcPr>
            <w:tcW w:w="1225"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23 380</w:t>
            </w:r>
          </w:p>
        </w:tc>
      </w:tr>
    </w:tbl>
    <w:p w:rsidR="00D05D01" w:rsidRPr="009D6B6F" w:rsidRDefault="00D05D01" w:rsidP="00D05D01">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The targets for all undergraduate enrolments for the scarce skills are in Table 2 below:</w:t>
      </w:r>
    </w:p>
    <w:tbl>
      <w:tblPr>
        <w:tblW w:w="9262" w:type="dxa"/>
        <w:tblCellSpacing w:w="15" w:type="dxa"/>
        <w:tblCellMar>
          <w:top w:w="15" w:type="dxa"/>
          <w:left w:w="15" w:type="dxa"/>
          <w:bottom w:w="15" w:type="dxa"/>
          <w:right w:w="15" w:type="dxa"/>
        </w:tblCellMar>
        <w:tblLook w:val="04A0"/>
      </w:tblPr>
      <w:tblGrid>
        <w:gridCol w:w="1914"/>
        <w:gridCol w:w="1221"/>
        <w:gridCol w:w="1222"/>
        <w:gridCol w:w="1223"/>
        <w:gridCol w:w="1222"/>
        <w:gridCol w:w="1222"/>
        <w:gridCol w:w="1238"/>
      </w:tblGrid>
      <w:tr w:rsidR="00D05D01" w:rsidRPr="009D6B6F" w:rsidTr="00842E9B">
        <w:trPr>
          <w:trHeight w:val="423"/>
          <w:tblCellSpacing w:w="15" w:type="dxa"/>
        </w:trPr>
        <w:tc>
          <w:tcPr>
            <w:tcW w:w="9262" w:type="dxa"/>
            <w:gridSpan w:val="7"/>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TABLE 2: 2020 to 2025 Proposed targets for all undergraduate qualifications in scarce skills</w:t>
            </w:r>
          </w:p>
        </w:tc>
      </w:tr>
      <w:tr w:rsidR="00D05D01" w:rsidRPr="009D6B6F" w:rsidTr="00842E9B">
        <w:trPr>
          <w:trHeight w:val="96"/>
          <w:tblCellSpacing w:w="15" w:type="dxa"/>
        </w:trPr>
        <w:tc>
          <w:tcPr>
            <w:tcW w:w="1904" w:type="dxa"/>
            <w:tcBorders>
              <w:top w:val="nil"/>
              <w:left w:val="nil"/>
              <w:bottom w:val="nil"/>
              <w:right w:val="nil"/>
            </w:tcBorders>
            <w:vAlign w:val="bottom"/>
            <w:hideMark/>
          </w:tcPr>
          <w:p w:rsidR="00D05D01" w:rsidRPr="009D6B6F" w:rsidRDefault="00D05D01" w:rsidP="00842E9B">
            <w:pPr>
              <w:spacing w:after="0" w:line="360" w:lineRule="auto"/>
              <w:jc w:val="both"/>
              <w:rPr>
                <w:rFonts w:ascii="Arial" w:eastAsia="Times New Roman" w:hAnsi="Arial" w:cs="Arial"/>
                <w:lang w:val="en-ZA" w:eastAsia="en-ZA"/>
              </w:rPr>
            </w:pPr>
            <w:r w:rsidRPr="009D6B6F">
              <w:rPr>
                <w:rFonts w:ascii="Arial" w:eastAsia="Times New Roman" w:hAnsi="Arial" w:cs="Arial"/>
                <w:lang w:val="en-ZA" w:eastAsia="en-ZA"/>
              </w:rPr>
              <w:t> </w:t>
            </w:r>
          </w:p>
        </w:tc>
        <w:tc>
          <w:tcPr>
            <w:tcW w:w="1226"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2020</w:t>
            </w:r>
          </w:p>
        </w:tc>
        <w:tc>
          <w:tcPr>
            <w:tcW w:w="1226"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2021</w:t>
            </w:r>
          </w:p>
        </w:tc>
        <w:tc>
          <w:tcPr>
            <w:tcW w:w="1227"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2022</w:t>
            </w:r>
          </w:p>
        </w:tc>
        <w:tc>
          <w:tcPr>
            <w:tcW w:w="1226"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2023</w:t>
            </w:r>
          </w:p>
        </w:tc>
        <w:tc>
          <w:tcPr>
            <w:tcW w:w="1226"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2024</w:t>
            </w:r>
          </w:p>
        </w:tc>
        <w:tc>
          <w:tcPr>
            <w:tcW w:w="1227"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b/>
                <w:bCs/>
                <w:lang w:val="en-ZA" w:eastAsia="en-ZA"/>
              </w:rPr>
              <w:t>2025</w:t>
            </w:r>
          </w:p>
        </w:tc>
      </w:tr>
      <w:tr w:rsidR="00D05D01" w:rsidRPr="009D6B6F" w:rsidTr="00842E9B">
        <w:trPr>
          <w:trHeight w:val="230"/>
          <w:tblCellSpacing w:w="15" w:type="dxa"/>
        </w:trPr>
        <w:tc>
          <w:tcPr>
            <w:tcW w:w="190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Engineering</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77 062</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77 003</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77 158</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78 916</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80 796</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83 019</w:t>
            </w:r>
          </w:p>
        </w:tc>
      </w:tr>
      <w:tr w:rsidR="00D05D01" w:rsidRPr="009D6B6F" w:rsidTr="00842E9B">
        <w:trPr>
          <w:trHeight w:val="230"/>
          <w:tblCellSpacing w:w="15" w:type="dxa"/>
        </w:trPr>
        <w:tc>
          <w:tcPr>
            <w:tcW w:w="190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Life and Physical Science</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58 267</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59 240</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60 613</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61 218</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62 092</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62 890</w:t>
            </w:r>
          </w:p>
        </w:tc>
      </w:tr>
      <w:tr w:rsidR="00D05D01" w:rsidRPr="009D6B6F" w:rsidTr="00842E9B">
        <w:trPr>
          <w:trHeight w:val="230"/>
          <w:tblCellSpacing w:w="15" w:type="dxa"/>
        </w:trPr>
        <w:tc>
          <w:tcPr>
            <w:tcW w:w="190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Human Health</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47 411</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47 488</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47 597</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49 120</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50 406</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51 926</w:t>
            </w:r>
          </w:p>
        </w:tc>
      </w:tr>
      <w:tr w:rsidR="00D05D01" w:rsidRPr="009D6B6F" w:rsidTr="00842E9B">
        <w:trPr>
          <w:trHeight w:val="230"/>
          <w:tblCellSpacing w:w="15" w:type="dxa"/>
        </w:trPr>
        <w:tc>
          <w:tcPr>
            <w:tcW w:w="190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Animal and Veterinary Science</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5 001</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5 208</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5 343</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5 469</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5 592</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5 729</w:t>
            </w:r>
          </w:p>
        </w:tc>
      </w:tr>
      <w:tr w:rsidR="00D05D01" w:rsidRPr="009D6B6F" w:rsidTr="00842E9B">
        <w:trPr>
          <w:trHeight w:val="230"/>
          <w:tblCellSpacing w:w="15" w:type="dxa"/>
        </w:trPr>
        <w:tc>
          <w:tcPr>
            <w:tcW w:w="1904" w:type="dxa"/>
            <w:tcBorders>
              <w:top w:val="nil"/>
              <w:left w:val="nil"/>
              <w:bottom w:val="nil"/>
              <w:right w:val="nil"/>
            </w:tcBorders>
            <w:vAlign w:val="bottom"/>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lastRenderedPageBreak/>
              <w:t>Initial Teacher Education</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136 272</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139 733</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142 893</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144 791</w:t>
            </w:r>
          </w:p>
        </w:tc>
        <w:tc>
          <w:tcPr>
            <w:tcW w:w="1226"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147 471</w:t>
            </w:r>
          </w:p>
        </w:tc>
        <w:tc>
          <w:tcPr>
            <w:tcW w:w="1227" w:type="dxa"/>
            <w:tcBorders>
              <w:top w:val="nil"/>
              <w:left w:val="nil"/>
              <w:bottom w:val="nil"/>
              <w:right w:val="nil"/>
            </w:tcBorders>
            <w:hideMark/>
          </w:tcPr>
          <w:p w:rsidR="00D05D01" w:rsidRPr="009D6B6F" w:rsidRDefault="00D05D01" w:rsidP="00842E9B">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150 117</w:t>
            </w:r>
          </w:p>
        </w:tc>
      </w:tr>
    </w:tbl>
    <w:p w:rsidR="00D05D01" w:rsidRPr="009D6B6F" w:rsidRDefault="00D05D01" w:rsidP="00D05D01">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 (b) (</w:t>
      </w:r>
      <w:proofErr w:type="spellStart"/>
      <w:r w:rsidRPr="009D6B6F">
        <w:rPr>
          <w:rFonts w:ascii="Arial" w:eastAsia="Times New Roman" w:hAnsi="Arial" w:cs="Arial"/>
          <w:lang w:val="en-ZA" w:eastAsia="en-ZA"/>
        </w:rPr>
        <w:t>i</w:t>
      </w:r>
      <w:proofErr w:type="spellEnd"/>
      <w:r w:rsidRPr="009D6B6F">
        <w:rPr>
          <w:rFonts w:ascii="Arial" w:eastAsia="Times New Roman" w:hAnsi="Arial" w:cs="Arial"/>
          <w:lang w:val="en-ZA" w:eastAsia="en-ZA"/>
        </w:rPr>
        <w:t>)</w:t>
      </w:r>
      <w:r>
        <w:rPr>
          <w:rFonts w:ascii="Arial" w:eastAsia="Times New Roman" w:hAnsi="Arial" w:cs="Arial"/>
          <w:lang w:val="en-ZA" w:eastAsia="en-ZA"/>
        </w:rPr>
        <w:t xml:space="preserve"> </w:t>
      </w:r>
      <w:r w:rsidRPr="009D6B6F">
        <w:rPr>
          <w:rFonts w:ascii="Arial" w:eastAsia="Times New Roman" w:hAnsi="Arial" w:cs="Arial"/>
          <w:lang w:val="en-ZA" w:eastAsia="en-ZA"/>
        </w:rPr>
        <w:t>Universities are funded through Teaching Input Units (TIUs) based on their approved enrolment plans.  If the universities adhere to the agreed upon targets, they will receive their full funding in terms of their approved TIUs.  If they are more than 2% under-enrolled, universities will be penalised financially and if they are more than 2% over-enrolled in their first-time entering enrolments, they will also be penalised due to the impact which over-enrolment has on the sector.</w:t>
      </w:r>
    </w:p>
    <w:p w:rsidR="00D05D01" w:rsidRPr="009D6B6F" w:rsidRDefault="00D05D01" w:rsidP="00D05D01">
      <w:pPr>
        <w:spacing w:before="100" w:beforeAutospacing="1" w:after="100" w:afterAutospacing="1" w:line="360" w:lineRule="auto"/>
        <w:jc w:val="both"/>
        <w:rPr>
          <w:rFonts w:ascii="Arial" w:eastAsia="Times New Roman" w:hAnsi="Arial" w:cs="Arial"/>
          <w:lang w:val="en-ZA" w:eastAsia="en-ZA"/>
        </w:rPr>
      </w:pPr>
      <w:r w:rsidRPr="009D6B6F">
        <w:rPr>
          <w:rFonts w:ascii="Arial" w:eastAsia="Times New Roman" w:hAnsi="Arial" w:cs="Arial"/>
          <w:lang w:val="en-ZA" w:eastAsia="en-ZA"/>
        </w:rPr>
        <w:t>(ii) The above-mentioned strategy is not expected to have a significant impact on the Social and Human Sciences as the enrolment plan targets are also set in terms of the percentage in the Human Sciences (includes Social Sciences).  The targets are reflected in Table 3 below:</w:t>
      </w:r>
    </w:p>
    <w:p w:rsidR="00D05D01" w:rsidRPr="009D6B6F" w:rsidRDefault="00D05D01" w:rsidP="00D05D01">
      <w:pPr>
        <w:spacing w:before="100" w:beforeAutospacing="1" w:after="100" w:afterAutospacing="1" w:line="240" w:lineRule="auto"/>
        <w:ind w:left="720"/>
        <w:rPr>
          <w:rFonts w:ascii="Times New Roman" w:eastAsia="Times New Roman" w:hAnsi="Times New Roman" w:cs="Times New Roman"/>
          <w:sz w:val="24"/>
          <w:szCs w:val="24"/>
          <w:lang w:val="en-ZA" w:eastAsia="en-ZA"/>
        </w:rPr>
      </w:pPr>
      <w:r w:rsidRPr="009D6B6F">
        <w:rPr>
          <w:noProof/>
          <w:lang w:val="en-ZA" w:eastAsia="en-ZA"/>
        </w:rPr>
        <w:drawing>
          <wp:inline distT="0" distB="0" distL="0" distR="0">
            <wp:extent cx="59436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43050"/>
                    </a:xfrm>
                    <a:prstGeom prst="rect">
                      <a:avLst/>
                    </a:prstGeom>
                  </pic:spPr>
                </pic:pic>
              </a:graphicData>
            </a:graphic>
          </wp:inline>
        </w:drawing>
      </w:r>
    </w:p>
    <w:p w:rsidR="00D05D01" w:rsidRDefault="00D05D01" w:rsidP="00D05D01">
      <w:pPr>
        <w:spacing w:before="100" w:beforeAutospacing="1" w:after="100" w:afterAutospacing="1" w:line="360" w:lineRule="auto"/>
        <w:jc w:val="both"/>
        <w:rPr>
          <w:rFonts w:ascii="Arial" w:hAnsi="Arial" w:cs="Arial"/>
          <w:b/>
        </w:rPr>
      </w:pPr>
    </w:p>
    <w:p w:rsidR="00D05D01" w:rsidRDefault="00D05D01" w:rsidP="00D05D01">
      <w:pPr>
        <w:spacing w:before="100" w:beforeAutospacing="1" w:after="100" w:afterAutospacing="1" w:line="360" w:lineRule="auto"/>
        <w:jc w:val="both"/>
        <w:rPr>
          <w:rFonts w:ascii="Arial" w:hAnsi="Arial" w:cs="Arial"/>
          <w:b/>
        </w:rPr>
      </w:pP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8"/>
  </w:num>
  <w:num w:numId="3">
    <w:abstractNumId w:val="34"/>
  </w:num>
  <w:num w:numId="4">
    <w:abstractNumId w:val="4"/>
  </w:num>
  <w:num w:numId="5">
    <w:abstractNumId w:val="43"/>
  </w:num>
  <w:num w:numId="6">
    <w:abstractNumId w:val="31"/>
  </w:num>
  <w:num w:numId="7">
    <w:abstractNumId w:val="40"/>
  </w:num>
  <w:num w:numId="8">
    <w:abstractNumId w:val="28"/>
  </w:num>
  <w:num w:numId="9">
    <w:abstractNumId w:val="42"/>
  </w:num>
  <w:num w:numId="10">
    <w:abstractNumId w:val="15"/>
  </w:num>
  <w:num w:numId="11">
    <w:abstractNumId w:val="19"/>
  </w:num>
  <w:num w:numId="12">
    <w:abstractNumId w:val="1"/>
  </w:num>
  <w:num w:numId="13">
    <w:abstractNumId w:val="24"/>
  </w:num>
  <w:num w:numId="14">
    <w:abstractNumId w:val="39"/>
  </w:num>
  <w:num w:numId="15">
    <w:abstractNumId w:val="10"/>
  </w:num>
  <w:num w:numId="16">
    <w:abstractNumId w:val="45"/>
  </w:num>
  <w:num w:numId="17">
    <w:abstractNumId w:val="38"/>
  </w:num>
  <w:num w:numId="18">
    <w:abstractNumId w:val="47"/>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4"/>
  </w:num>
  <w:num w:numId="26">
    <w:abstractNumId w:val="22"/>
  </w:num>
  <w:num w:numId="27">
    <w:abstractNumId w:val="7"/>
  </w:num>
  <w:num w:numId="28">
    <w:abstractNumId w:val="37"/>
  </w:num>
  <w:num w:numId="29">
    <w:abstractNumId w:val="41"/>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6"/>
  </w:num>
  <w:num w:numId="41">
    <w:abstractNumId w:val="35"/>
  </w:num>
  <w:num w:numId="42">
    <w:abstractNumId w:val="29"/>
  </w:num>
  <w:num w:numId="43">
    <w:abstractNumId w:val="18"/>
  </w:num>
  <w:num w:numId="44">
    <w:abstractNumId w:val="27"/>
  </w:num>
  <w:num w:numId="45">
    <w:abstractNumId w:val="46"/>
  </w:num>
  <w:num w:numId="46">
    <w:abstractNumId w:val="3"/>
  </w:num>
  <w:num w:numId="47">
    <w:abstractNumId w:val="9"/>
  </w:num>
  <w:num w:numId="48">
    <w:abstractNumId w:val="2"/>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3E5"/>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DF63BB"/>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C469-7B9B-4107-8373-D8E9346D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2021-06-17T16:08:00Z</dcterms:created>
  <dcterms:modified xsi:type="dcterms:W3CDTF">2021-06-17T16:08:00Z</dcterms:modified>
</cp:coreProperties>
</file>