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86" w:rsidRPr="006D7B63" w:rsidRDefault="00976B86">
      <w:pPr>
        <w:rPr>
          <w:rFonts w:ascii="Times New Roman" w:hAnsi="Times New Roman"/>
          <w:b/>
          <w:sz w:val="24"/>
          <w:szCs w:val="24"/>
        </w:rPr>
      </w:pPr>
      <w:r w:rsidRPr="006D7B63">
        <w:rPr>
          <w:rFonts w:ascii="Times New Roman" w:hAnsi="Times New Roman"/>
          <w:b/>
          <w:sz w:val="24"/>
          <w:szCs w:val="24"/>
        </w:rPr>
        <w:t>NATIONAL ASSEMBLY</w:t>
      </w:r>
    </w:p>
    <w:p w:rsidR="00976B86" w:rsidRPr="006D7B63" w:rsidRDefault="00976B86">
      <w:pPr>
        <w:rPr>
          <w:rFonts w:ascii="Times New Roman" w:hAnsi="Times New Roman"/>
          <w:b/>
          <w:sz w:val="24"/>
          <w:szCs w:val="24"/>
        </w:rPr>
      </w:pPr>
    </w:p>
    <w:p w:rsidR="00976B86" w:rsidRPr="006D7B63" w:rsidRDefault="00976B86">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976B86" w:rsidRPr="006D7B63" w:rsidRDefault="00976B86">
      <w:pPr>
        <w:rPr>
          <w:rFonts w:ascii="Times New Roman" w:hAnsi="Times New Roman"/>
          <w:b/>
          <w:sz w:val="24"/>
          <w:szCs w:val="24"/>
        </w:rPr>
      </w:pPr>
    </w:p>
    <w:p w:rsidR="00976B86" w:rsidRPr="006D7B63" w:rsidRDefault="00976B86">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1736</w:t>
      </w:r>
    </w:p>
    <w:p w:rsidR="00976B86" w:rsidRPr="006D7B63" w:rsidRDefault="00976B86">
      <w:pPr>
        <w:rPr>
          <w:rFonts w:ascii="Times New Roman" w:hAnsi="Times New Roman"/>
          <w:b/>
          <w:sz w:val="24"/>
          <w:szCs w:val="24"/>
        </w:rPr>
      </w:pPr>
    </w:p>
    <w:p w:rsidR="00976B86" w:rsidRPr="006D7B63" w:rsidRDefault="00976B86">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15/05</w:t>
      </w:r>
      <w:r w:rsidRPr="006D7B63">
        <w:rPr>
          <w:rFonts w:ascii="Times New Roman" w:hAnsi="Times New Roman"/>
          <w:b/>
          <w:sz w:val="24"/>
          <w:szCs w:val="24"/>
          <w:u w:val="single"/>
        </w:rPr>
        <w:t>/2015</w:t>
      </w:r>
    </w:p>
    <w:p w:rsidR="00976B86" w:rsidRDefault="00976B86">
      <w:pPr>
        <w:rPr>
          <w:rFonts w:ascii="Times New Roman" w:hAnsi="Times New Roman"/>
          <w:b/>
          <w:sz w:val="24"/>
          <w:szCs w:val="24"/>
          <w:u w:val="single"/>
        </w:rPr>
      </w:pPr>
      <w:r>
        <w:rPr>
          <w:rFonts w:ascii="Times New Roman" w:hAnsi="Times New Roman"/>
          <w:b/>
          <w:sz w:val="24"/>
          <w:szCs w:val="24"/>
          <w:u w:val="single"/>
        </w:rPr>
        <w:t>INTERNAL QUESTION PAPER: 14</w:t>
      </w:r>
      <w:r w:rsidRPr="006D7B63">
        <w:rPr>
          <w:rFonts w:ascii="Times New Roman" w:hAnsi="Times New Roman"/>
          <w:b/>
          <w:sz w:val="24"/>
          <w:szCs w:val="24"/>
          <w:u w:val="single"/>
        </w:rPr>
        <w:t>/2015</w:t>
      </w:r>
    </w:p>
    <w:p w:rsidR="00976B86" w:rsidRPr="00066E6A" w:rsidRDefault="00976B86" w:rsidP="00066E6A">
      <w:pPr>
        <w:spacing w:before="100" w:beforeAutospacing="1" w:after="100" w:afterAutospacing="1" w:line="240" w:lineRule="auto"/>
        <w:ind w:left="1134" w:hanging="992"/>
        <w:jc w:val="both"/>
        <w:rPr>
          <w:rFonts w:ascii="Times New Roman" w:hAnsi="Times New Roman"/>
          <w:b/>
          <w:sz w:val="24"/>
          <w:szCs w:val="24"/>
          <w:lang w:val="en-US"/>
        </w:rPr>
      </w:pPr>
      <w:r w:rsidRPr="00066E6A">
        <w:rPr>
          <w:rFonts w:ascii="Times New Roman" w:hAnsi="Times New Roman"/>
          <w:b/>
          <w:sz w:val="24"/>
          <w:szCs w:val="24"/>
          <w:lang w:val="en-US"/>
        </w:rPr>
        <w:t>1736.</w:t>
      </w:r>
      <w:r w:rsidRPr="00066E6A">
        <w:rPr>
          <w:rFonts w:ascii="Times New Roman" w:hAnsi="Times New Roman"/>
          <w:b/>
          <w:sz w:val="24"/>
          <w:szCs w:val="24"/>
          <w:lang w:val="en-US"/>
        </w:rPr>
        <w:tab/>
        <w:t>Ms A T Lovemore (DA) to ask the Minister of Basic Education:</w:t>
      </w:r>
    </w:p>
    <w:p w:rsidR="00976B86" w:rsidRPr="00066E6A" w:rsidRDefault="00976B86" w:rsidP="00066E6A">
      <w:pPr>
        <w:spacing w:before="100" w:beforeAutospacing="1" w:after="100" w:afterAutospacing="1" w:line="240" w:lineRule="auto"/>
        <w:ind w:left="1701" w:hanging="567"/>
        <w:jc w:val="both"/>
        <w:outlineLvl w:val="0"/>
        <w:rPr>
          <w:rFonts w:ascii="Times New Roman" w:hAnsi="Times New Roman"/>
          <w:sz w:val="24"/>
          <w:szCs w:val="24"/>
        </w:rPr>
      </w:pPr>
      <w:r w:rsidRPr="00066E6A">
        <w:rPr>
          <w:rFonts w:ascii="Times New Roman" w:hAnsi="Times New Roman"/>
          <w:sz w:val="24"/>
          <w:szCs w:val="24"/>
          <w:lang w:val="en-US"/>
        </w:rPr>
        <w:t>(1)</w:t>
      </w:r>
      <w:r w:rsidRPr="00066E6A">
        <w:rPr>
          <w:rFonts w:ascii="Times New Roman" w:hAnsi="Times New Roman"/>
          <w:sz w:val="24"/>
          <w:szCs w:val="24"/>
          <w:lang w:val="en-US"/>
        </w:rPr>
        <w:tab/>
        <w:t xml:space="preserve">What are the full details of the readiness of (a) her department and (b) the nine provincial education departments to implement the newly revised </w:t>
      </w:r>
      <w:r w:rsidRPr="00066E6A">
        <w:rPr>
          <w:rFonts w:ascii="Times New Roman" w:hAnsi="Times New Roman"/>
          <w:sz w:val="24"/>
          <w:szCs w:val="24"/>
        </w:rPr>
        <w:t>curriculum</w:t>
      </w:r>
      <w:r w:rsidRPr="00066E6A">
        <w:rPr>
          <w:rFonts w:ascii="Times New Roman" w:hAnsi="Times New Roman"/>
          <w:sz w:val="24"/>
          <w:szCs w:val="24"/>
          <w:lang w:val="en-US"/>
        </w:rPr>
        <w:t xml:space="preserve"> for </w:t>
      </w:r>
      <w:r w:rsidRPr="00066E6A">
        <w:rPr>
          <w:rFonts w:ascii="Times New Roman" w:hAnsi="Times New Roman"/>
          <w:sz w:val="24"/>
          <w:szCs w:val="24"/>
        </w:rPr>
        <w:t>schools</w:t>
      </w:r>
      <w:r w:rsidRPr="00066E6A">
        <w:rPr>
          <w:rFonts w:ascii="Times New Roman" w:hAnsi="Times New Roman"/>
          <w:sz w:val="24"/>
          <w:szCs w:val="24"/>
          <w:lang w:val="en-US"/>
        </w:rPr>
        <w:t xml:space="preserve"> of technology in 2016, including (i) curriculum, (ii) workshop, (iii) textbook and (iv) teacher readiness;</w:t>
      </w:r>
    </w:p>
    <w:p w:rsidR="00976B86" w:rsidRPr="00066E6A" w:rsidRDefault="00976B86" w:rsidP="00066E6A">
      <w:pPr>
        <w:spacing w:before="100" w:beforeAutospacing="1" w:after="100" w:afterAutospacing="1" w:line="240" w:lineRule="auto"/>
        <w:ind w:left="1701" w:hanging="567"/>
        <w:jc w:val="both"/>
        <w:outlineLvl w:val="0"/>
        <w:rPr>
          <w:rFonts w:ascii="Times New Roman" w:hAnsi="Times New Roman"/>
          <w:sz w:val="24"/>
          <w:szCs w:val="24"/>
          <w:lang w:val="en-US"/>
        </w:rPr>
      </w:pPr>
      <w:r w:rsidRPr="00066E6A">
        <w:rPr>
          <w:rFonts w:ascii="Times New Roman" w:hAnsi="Times New Roman"/>
          <w:sz w:val="24"/>
          <w:szCs w:val="24"/>
          <w:lang w:val="en-US"/>
        </w:rPr>
        <w:t>(2)</w:t>
      </w:r>
      <w:r w:rsidRPr="00066E6A">
        <w:rPr>
          <w:rFonts w:ascii="Times New Roman" w:hAnsi="Times New Roman"/>
          <w:sz w:val="24"/>
          <w:szCs w:val="24"/>
          <w:lang w:val="en-US"/>
        </w:rPr>
        <w:tab/>
        <w:t>(a)(i) how many learners and (ii) what percentage of total Grade 12 learners registered to study within a technological discipline in Grade 12 in the (aa) 2005, (bb) 2008, (cc) 2010, (dd) 2012 and (ee) 2015 academic years in each province and (b) to what factor(s) does she attribute any drop in numbers or percentages that might have occurred over the specified academic years;</w:t>
      </w:r>
    </w:p>
    <w:p w:rsidR="00976B86" w:rsidRPr="00066E6A" w:rsidRDefault="00976B86" w:rsidP="00066E6A">
      <w:pPr>
        <w:spacing w:before="100" w:beforeAutospacing="1" w:after="100" w:afterAutospacing="1" w:line="240" w:lineRule="auto"/>
        <w:ind w:left="1701" w:hanging="567"/>
        <w:jc w:val="both"/>
        <w:outlineLvl w:val="0"/>
        <w:rPr>
          <w:rFonts w:ascii="Times New Roman" w:hAnsi="Times New Roman"/>
          <w:sz w:val="24"/>
          <w:szCs w:val="24"/>
          <w:lang w:val="en-US"/>
        </w:rPr>
      </w:pPr>
      <w:r w:rsidRPr="00066E6A">
        <w:rPr>
          <w:rFonts w:ascii="Times New Roman" w:hAnsi="Times New Roman"/>
          <w:sz w:val="24"/>
          <w:szCs w:val="24"/>
          <w:lang w:val="en-US"/>
        </w:rPr>
        <w:t>(3)</w:t>
      </w:r>
      <w:r w:rsidRPr="00066E6A">
        <w:rPr>
          <w:rFonts w:ascii="Times New Roman" w:hAnsi="Times New Roman"/>
          <w:sz w:val="24"/>
          <w:szCs w:val="24"/>
          <w:lang w:val="en-US"/>
        </w:rPr>
        <w:tab/>
        <w:t xml:space="preserve">whether she is aware that every form of technology is listed as a critical skill on the </w:t>
      </w:r>
      <w:r w:rsidRPr="00066E6A">
        <w:rPr>
          <w:rFonts w:ascii="Times New Roman" w:hAnsi="Times New Roman"/>
          <w:sz w:val="24"/>
          <w:szCs w:val="24"/>
        </w:rPr>
        <w:t>Minister</w:t>
      </w:r>
      <w:r w:rsidRPr="00066E6A">
        <w:rPr>
          <w:rFonts w:ascii="Times New Roman" w:hAnsi="Times New Roman"/>
          <w:sz w:val="24"/>
          <w:szCs w:val="24"/>
          <w:lang w:val="en-US"/>
        </w:rPr>
        <w:t xml:space="preserve"> of Home Affairs' list of skills or qualifications determined to be critical for the Republic of South Africa (</w:t>
      </w:r>
      <w:r w:rsidRPr="00066E6A">
        <w:rPr>
          <w:rFonts w:ascii="Times New Roman" w:hAnsi="Times New Roman"/>
          <w:i/>
          <w:sz w:val="24"/>
          <w:szCs w:val="24"/>
          <w:lang w:val="en-US"/>
        </w:rPr>
        <w:t>Government Gazette</w:t>
      </w:r>
      <w:r w:rsidRPr="00066E6A">
        <w:rPr>
          <w:rFonts w:ascii="Times New Roman" w:hAnsi="Times New Roman"/>
          <w:sz w:val="24"/>
          <w:szCs w:val="24"/>
          <w:lang w:val="en-US"/>
        </w:rPr>
        <w:t xml:space="preserve"> 37716, 3 June 2014);</w:t>
      </w:r>
    </w:p>
    <w:p w:rsidR="00976B86" w:rsidRPr="00066E6A" w:rsidRDefault="00976B86" w:rsidP="00066E6A">
      <w:pPr>
        <w:spacing w:before="100" w:beforeAutospacing="1" w:after="100" w:afterAutospacing="1" w:line="240" w:lineRule="auto"/>
        <w:ind w:left="1701" w:hanging="567"/>
        <w:jc w:val="both"/>
        <w:outlineLvl w:val="0"/>
        <w:rPr>
          <w:rFonts w:ascii="Times New Roman" w:hAnsi="Times New Roman"/>
          <w:sz w:val="20"/>
          <w:szCs w:val="20"/>
          <w:lang w:val="en-US"/>
        </w:rPr>
      </w:pPr>
      <w:r w:rsidRPr="00066E6A">
        <w:rPr>
          <w:rFonts w:ascii="Times New Roman" w:hAnsi="Times New Roman"/>
          <w:sz w:val="24"/>
          <w:szCs w:val="24"/>
          <w:lang w:val="en-US"/>
        </w:rPr>
        <w:t>(4)</w:t>
      </w:r>
      <w:r w:rsidRPr="00066E6A">
        <w:rPr>
          <w:rFonts w:ascii="Times New Roman" w:hAnsi="Times New Roman"/>
          <w:sz w:val="24"/>
          <w:szCs w:val="24"/>
          <w:lang w:val="en-US"/>
        </w:rPr>
        <w:tab/>
        <w:t xml:space="preserve">(a) for what reason(s) is the number of learners studying technology lower than </w:t>
      </w:r>
      <w:r w:rsidRPr="00066E6A">
        <w:rPr>
          <w:rFonts w:ascii="Times New Roman" w:hAnsi="Times New Roman"/>
          <w:sz w:val="24"/>
          <w:szCs w:val="24"/>
        </w:rPr>
        <w:t>expected</w:t>
      </w:r>
      <w:r w:rsidRPr="00066E6A">
        <w:rPr>
          <w:rFonts w:ascii="Times New Roman" w:hAnsi="Times New Roman"/>
          <w:sz w:val="24"/>
          <w:szCs w:val="24"/>
          <w:lang w:val="en-US"/>
        </w:rPr>
        <w:t xml:space="preserve">, (b) what steps will she take to ensure that the number of learners </w:t>
      </w:r>
      <w:r w:rsidRPr="00066E6A">
        <w:rPr>
          <w:rFonts w:ascii="Times New Roman" w:hAnsi="Times New Roman"/>
          <w:sz w:val="24"/>
          <w:szCs w:val="24"/>
        </w:rPr>
        <w:t>studying</w:t>
      </w:r>
      <w:r w:rsidRPr="00066E6A">
        <w:rPr>
          <w:rFonts w:ascii="Times New Roman" w:hAnsi="Times New Roman"/>
          <w:sz w:val="24"/>
          <w:szCs w:val="24"/>
          <w:lang w:val="en-US"/>
        </w:rPr>
        <w:t xml:space="preserve"> technology will increase, (c) what targets has she set in this regard and (d) what (i) are the current challenges and (ii) challenges does she foresee that will hamper efforts to provide technological schooling to the desired number of learners?</w:t>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4"/>
          <w:szCs w:val="24"/>
          <w:lang w:val="en-US"/>
        </w:rPr>
        <w:tab/>
      </w:r>
      <w:r w:rsidRPr="00066E6A">
        <w:rPr>
          <w:rFonts w:ascii="Times New Roman" w:hAnsi="Times New Roman"/>
          <w:sz w:val="20"/>
          <w:szCs w:val="20"/>
          <w:lang w:val="en-US"/>
        </w:rPr>
        <w:t>NW1954E</w:t>
      </w:r>
    </w:p>
    <w:p w:rsidR="00976B86" w:rsidRPr="00025F36" w:rsidRDefault="00976B86" w:rsidP="00366BCF">
      <w:pPr>
        <w:pStyle w:val="ListParagraph"/>
        <w:numPr>
          <w:ilvl w:val="0"/>
          <w:numId w:val="21"/>
        </w:numPr>
        <w:spacing w:after="0" w:line="360" w:lineRule="auto"/>
        <w:ind w:left="709" w:hanging="709"/>
        <w:jc w:val="both"/>
        <w:rPr>
          <w:rFonts w:ascii="Arial" w:hAnsi="Arial" w:cs="Arial"/>
        </w:rPr>
      </w:pPr>
      <w:r w:rsidRPr="00025F36">
        <w:rPr>
          <w:rFonts w:ascii="Arial" w:hAnsi="Arial" w:cs="Arial"/>
        </w:rPr>
        <w:t>(a)(b) (i) curriculum</w:t>
      </w:r>
    </w:p>
    <w:p w:rsidR="00976B86" w:rsidRPr="00025F36" w:rsidRDefault="00976B86" w:rsidP="00366BCF">
      <w:pPr>
        <w:spacing w:after="0" w:line="360" w:lineRule="auto"/>
        <w:ind w:left="709"/>
        <w:jc w:val="both"/>
        <w:rPr>
          <w:rFonts w:ascii="Arial" w:hAnsi="Arial" w:cs="Arial"/>
        </w:rPr>
      </w:pPr>
      <w:r w:rsidRPr="00025F36">
        <w:rPr>
          <w:rFonts w:ascii="Arial" w:hAnsi="Arial" w:cs="Arial"/>
        </w:rPr>
        <w:t xml:space="preserve">The development of Curriculum Assessment and Policy Statements (CAPS) for Technical subjects was completed and signed by the Minister of Basic Education on the 13 April 2015; this is in accordance with the Government Gazette No 37840 dated July 2014. Printing is currently in progress and distribution of the CAPS documents will be completed before the training of teachers in June 2015. A total of 52, 750 copies of the CAPS documents for Technical Mathematics, Technical </w:t>
      </w:r>
      <w:r w:rsidRPr="00025F36">
        <w:rPr>
          <w:rFonts w:ascii="Arial" w:hAnsi="Arial" w:cs="Arial"/>
        </w:rPr>
        <w:lastRenderedPageBreak/>
        <w:t>Sciences, Civil Technology, Electrical Technology and Mechanical Technology will be printed and distributed as indicated below:</w:t>
      </w:r>
    </w:p>
    <w:p w:rsidR="00976B86" w:rsidRPr="00025F36" w:rsidRDefault="00976B86" w:rsidP="00366BCF">
      <w:pPr>
        <w:spacing w:after="0" w:line="360" w:lineRule="auto"/>
        <w:jc w:val="both"/>
        <w:rPr>
          <w:rFonts w:ascii="Arial" w:hAnsi="Arial" w:cs="Arial"/>
          <w:b/>
        </w:rPr>
      </w:pPr>
    </w:p>
    <w:p w:rsidR="00976B86" w:rsidRPr="00025F36" w:rsidRDefault="00976B86" w:rsidP="00366BCF">
      <w:pPr>
        <w:pStyle w:val="ListParagraph"/>
        <w:numPr>
          <w:ilvl w:val="0"/>
          <w:numId w:val="2"/>
        </w:numPr>
        <w:tabs>
          <w:tab w:val="left" w:pos="1985"/>
        </w:tabs>
        <w:spacing w:after="0" w:line="360" w:lineRule="auto"/>
        <w:jc w:val="both"/>
        <w:rPr>
          <w:rFonts w:ascii="Arial" w:hAnsi="Arial" w:cs="Arial"/>
        </w:rPr>
      </w:pPr>
      <w:r w:rsidRPr="00025F36">
        <w:rPr>
          <w:rFonts w:ascii="Arial" w:hAnsi="Arial" w:cs="Arial"/>
        </w:rPr>
        <w:t>5 copies ( 1 for each subject) to the National office DBE</w:t>
      </w:r>
    </w:p>
    <w:p w:rsidR="00976B86" w:rsidRPr="00025F36" w:rsidRDefault="00976B86" w:rsidP="00366BCF">
      <w:pPr>
        <w:pStyle w:val="ListParagraph"/>
        <w:numPr>
          <w:ilvl w:val="0"/>
          <w:numId w:val="2"/>
        </w:numPr>
        <w:tabs>
          <w:tab w:val="left" w:pos="1985"/>
        </w:tabs>
        <w:spacing w:after="0" w:line="360" w:lineRule="auto"/>
        <w:jc w:val="both"/>
        <w:rPr>
          <w:rFonts w:ascii="Arial" w:hAnsi="Arial" w:cs="Arial"/>
        </w:rPr>
      </w:pPr>
      <w:r w:rsidRPr="00025F36">
        <w:rPr>
          <w:rFonts w:ascii="Arial" w:hAnsi="Arial" w:cs="Arial"/>
        </w:rPr>
        <w:t>5 copies ( 1 for each subject ) to each provincial office</w:t>
      </w:r>
    </w:p>
    <w:p w:rsidR="00976B86" w:rsidRPr="00025F36" w:rsidRDefault="00976B86" w:rsidP="00366BCF">
      <w:pPr>
        <w:pStyle w:val="ListParagraph"/>
        <w:numPr>
          <w:ilvl w:val="0"/>
          <w:numId w:val="2"/>
        </w:numPr>
        <w:tabs>
          <w:tab w:val="left" w:pos="1985"/>
        </w:tabs>
        <w:spacing w:after="0" w:line="360" w:lineRule="auto"/>
        <w:jc w:val="both"/>
        <w:rPr>
          <w:rFonts w:ascii="Arial" w:hAnsi="Arial" w:cs="Arial"/>
        </w:rPr>
      </w:pPr>
      <w:r w:rsidRPr="00025F36">
        <w:rPr>
          <w:rFonts w:ascii="Arial" w:hAnsi="Arial" w:cs="Arial"/>
        </w:rPr>
        <w:t xml:space="preserve">5 copies ( 1 for each subject ) to each district office; and </w:t>
      </w:r>
    </w:p>
    <w:p w:rsidR="00976B86" w:rsidRPr="00025F36" w:rsidRDefault="00976B86" w:rsidP="00366BCF">
      <w:pPr>
        <w:pStyle w:val="ListParagraph"/>
        <w:numPr>
          <w:ilvl w:val="0"/>
          <w:numId w:val="2"/>
        </w:numPr>
        <w:tabs>
          <w:tab w:val="left" w:pos="1985"/>
        </w:tabs>
        <w:spacing w:after="0" w:line="360" w:lineRule="auto"/>
        <w:jc w:val="both"/>
        <w:rPr>
          <w:rFonts w:ascii="Arial" w:hAnsi="Arial" w:cs="Arial"/>
        </w:rPr>
      </w:pPr>
      <w:r w:rsidRPr="00025F36">
        <w:rPr>
          <w:rFonts w:ascii="Arial" w:hAnsi="Arial" w:cs="Arial"/>
        </w:rPr>
        <w:t>10 copies (2 for each subject) to each school offering a technical subject</w:t>
      </w:r>
    </w:p>
    <w:p w:rsidR="00976B86" w:rsidRPr="00025F36" w:rsidRDefault="00976B86" w:rsidP="00366BCF">
      <w:pPr>
        <w:tabs>
          <w:tab w:val="left" w:pos="1985"/>
        </w:tabs>
        <w:spacing w:after="0" w:line="360" w:lineRule="auto"/>
        <w:jc w:val="both"/>
        <w:rPr>
          <w:rFonts w:ascii="Arial" w:hAnsi="Arial" w:cs="Arial"/>
        </w:rPr>
      </w:pPr>
    </w:p>
    <w:p w:rsidR="00976B86" w:rsidRPr="00025F36" w:rsidRDefault="00976B86" w:rsidP="00366BCF">
      <w:pPr>
        <w:tabs>
          <w:tab w:val="left" w:pos="1985"/>
        </w:tabs>
        <w:spacing w:after="0" w:line="360" w:lineRule="auto"/>
        <w:ind w:left="709"/>
        <w:jc w:val="both"/>
        <w:rPr>
          <w:rFonts w:ascii="Arial" w:hAnsi="Arial" w:cs="Arial"/>
          <w:b/>
        </w:rPr>
      </w:pPr>
      <w:r w:rsidRPr="00025F36">
        <w:rPr>
          <w:rFonts w:ascii="Arial" w:hAnsi="Arial" w:cs="Arial"/>
        </w:rPr>
        <w:t>(b) (ii) Workshop</w:t>
      </w:r>
    </w:p>
    <w:p w:rsidR="00976B86" w:rsidRPr="00025F36" w:rsidRDefault="00976B86" w:rsidP="00366BCF">
      <w:pPr>
        <w:spacing w:after="0" w:line="360" w:lineRule="auto"/>
        <w:ind w:left="709"/>
        <w:jc w:val="both"/>
        <w:rPr>
          <w:rFonts w:ascii="Arial" w:hAnsi="Arial" w:cs="Arial"/>
        </w:rPr>
      </w:pPr>
      <w:r w:rsidRPr="00025F36">
        <w:rPr>
          <w:rFonts w:ascii="Arial" w:hAnsi="Arial" w:cs="Arial"/>
        </w:rPr>
        <w:t>Since the inception of the grant, the objective of training 2,749 teachers, building 118 new workshops, refurbishing 266 existing workshops and supplying equipment, machinery and tools to participating schools has been achieved. The grant was reconfigured in 2014 and it now forms part of the new Mathematics, Science and Technology Conditional Grant. The outputs of the new grant include the supply of machinery, equipment and tools and the training of teachers. Based on the total number of technical schools and the state of physical infrastructure at most schools, the schools have the capacity to implement the curriculum. Those that had challenges were recapitalised by the conditional grant.</w:t>
      </w:r>
    </w:p>
    <w:p w:rsidR="00976B86" w:rsidRPr="00025F36" w:rsidRDefault="00976B86" w:rsidP="00366BCF">
      <w:pPr>
        <w:tabs>
          <w:tab w:val="left" w:pos="1985"/>
        </w:tabs>
        <w:spacing w:after="0" w:line="360" w:lineRule="auto"/>
        <w:jc w:val="both"/>
        <w:rPr>
          <w:rFonts w:ascii="Arial" w:hAnsi="Arial" w:cs="Arial"/>
        </w:rPr>
      </w:pPr>
    </w:p>
    <w:p w:rsidR="00976B86" w:rsidRPr="00025F36" w:rsidRDefault="00976B86" w:rsidP="00366BCF">
      <w:pPr>
        <w:tabs>
          <w:tab w:val="left" w:pos="1985"/>
        </w:tabs>
        <w:spacing w:after="0" w:line="360" w:lineRule="auto"/>
        <w:ind w:left="709"/>
        <w:jc w:val="both"/>
        <w:rPr>
          <w:rFonts w:ascii="Arial" w:hAnsi="Arial" w:cs="Arial"/>
        </w:rPr>
      </w:pPr>
      <w:r w:rsidRPr="00025F36">
        <w:rPr>
          <w:rFonts w:ascii="Arial" w:hAnsi="Arial" w:cs="Arial"/>
        </w:rPr>
        <w:t>(b) (iii) Textbooks</w:t>
      </w:r>
    </w:p>
    <w:p w:rsidR="00976B86" w:rsidRPr="00025F36" w:rsidRDefault="00976B86" w:rsidP="00366BCF">
      <w:pPr>
        <w:tabs>
          <w:tab w:val="left" w:pos="1985"/>
        </w:tabs>
        <w:spacing w:after="0" w:line="360" w:lineRule="auto"/>
        <w:ind w:left="709"/>
        <w:jc w:val="both"/>
        <w:rPr>
          <w:rFonts w:ascii="Arial" w:hAnsi="Arial" w:cs="Arial"/>
        </w:rPr>
      </w:pPr>
      <w:r w:rsidRPr="00025F36">
        <w:rPr>
          <w:rFonts w:ascii="Arial" w:hAnsi="Arial" w:cs="Arial"/>
        </w:rPr>
        <w:t>The development process of both Technical Mathematics and Technical Sciences textbooks sponsored and co-managed by Sasol-Inzalo Foundation and DBE will be finalised by July 2015. Publishers are in the process of developing Civil Technology, Electrical Technology and Mechanical Technology textbooks due to be finalised in August 2015. Printing and distribution of all technical textbooks will be completed by 30 October 2015.</w:t>
      </w:r>
    </w:p>
    <w:p w:rsidR="00976B86" w:rsidRPr="00025F36" w:rsidRDefault="00976B86" w:rsidP="00366BCF">
      <w:pPr>
        <w:tabs>
          <w:tab w:val="left" w:pos="1985"/>
        </w:tabs>
        <w:spacing w:after="0" w:line="360" w:lineRule="auto"/>
        <w:jc w:val="both"/>
        <w:rPr>
          <w:rFonts w:ascii="Arial" w:hAnsi="Arial" w:cs="Arial"/>
        </w:rPr>
      </w:pPr>
    </w:p>
    <w:p w:rsidR="00976B86" w:rsidRPr="00025F36" w:rsidRDefault="00976B86" w:rsidP="00366BCF">
      <w:pPr>
        <w:tabs>
          <w:tab w:val="left" w:pos="1985"/>
        </w:tabs>
        <w:spacing w:after="0" w:line="360" w:lineRule="auto"/>
        <w:ind w:left="709"/>
        <w:jc w:val="both"/>
        <w:rPr>
          <w:rFonts w:ascii="Arial" w:hAnsi="Arial" w:cs="Arial"/>
        </w:rPr>
      </w:pPr>
      <w:r w:rsidRPr="00025F36">
        <w:rPr>
          <w:rFonts w:ascii="Arial" w:hAnsi="Arial" w:cs="Arial"/>
        </w:rPr>
        <w:t>(b)(iv) Teacher readiness</w:t>
      </w:r>
    </w:p>
    <w:p w:rsidR="00976B86" w:rsidRPr="00025F36" w:rsidRDefault="00976B86" w:rsidP="00366BCF">
      <w:pPr>
        <w:tabs>
          <w:tab w:val="left" w:pos="1985"/>
        </w:tabs>
        <w:spacing w:after="0" w:line="360" w:lineRule="auto"/>
        <w:ind w:left="709"/>
        <w:jc w:val="both"/>
        <w:rPr>
          <w:rFonts w:ascii="Arial" w:hAnsi="Arial" w:cs="Arial"/>
        </w:rPr>
      </w:pPr>
      <w:r w:rsidRPr="00025F36">
        <w:rPr>
          <w:rFonts w:ascii="Arial" w:hAnsi="Arial" w:cs="Arial"/>
        </w:rPr>
        <w:t>The changes introduced in the revised CAPS necessitated the need for orientation of subject advisors and re-training of teachers on theory and practical teaching methodologies.</w:t>
      </w:r>
    </w:p>
    <w:p w:rsidR="00976B86" w:rsidRPr="00025F36" w:rsidRDefault="00976B86" w:rsidP="00366BCF">
      <w:pPr>
        <w:tabs>
          <w:tab w:val="left" w:pos="1985"/>
        </w:tabs>
        <w:spacing w:after="0" w:line="360" w:lineRule="auto"/>
        <w:jc w:val="both"/>
        <w:rPr>
          <w:rFonts w:ascii="Arial" w:hAnsi="Arial" w:cs="Arial"/>
        </w:rPr>
      </w:pPr>
    </w:p>
    <w:p w:rsidR="00976B86" w:rsidRPr="00025F36" w:rsidRDefault="00976B86" w:rsidP="00366BCF">
      <w:pPr>
        <w:tabs>
          <w:tab w:val="left" w:pos="1985"/>
        </w:tabs>
        <w:spacing w:after="0" w:line="360" w:lineRule="auto"/>
        <w:ind w:left="709"/>
        <w:jc w:val="both"/>
        <w:rPr>
          <w:rFonts w:ascii="Arial" w:hAnsi="Arial" w:cs="Arial"/>
          <w:b/>
        </w:rPr>
      </w:pPr>
      <w:r w:rsidRPr="00025F36">
        <w:rPr>
          <w:rFonts w:ascii="Arial" w:hAnsi="Arial" w:cs="Arial"/>
        </w:rPr>
        <w:t>An audit of skills centres in preparation for the training of FET Technical schools subject advisors and teachers and Technology Senior Phase (Grade 7 – 9) subject advisors and teachers was conducted and finalised.</w:t>
      </w:r>
    </w:p>
    <w:p w:rsidR="00976B86" w:rsidRPr="00025F36" w:rsidRDefault="00976B86" w:rsidP="00366BCF">
      <w:pPr>
        <w:tabs>
          <w:tab w:val="left" w:pos="0"/>
          <w:tab w:val="left" w:pos="1985"/>
        </w:tabs>
        <w:spacing w:after="0" w:line="360" w:lineRule="auto"/>
        <w:ind w:left="709"/>
        <w:jc w:val="both"/>
        <w:rPr>
          <w:rFonts w:ascii="Arial" w:hAnsi="Arial" w:cs="Arial"/>
        </w:rPr>
      </w:pPr>
    </w:p>
    <w:p w:rsidR="00976B86" w:rsidRPr="00025F36" w:rsidRDefault="00976B86" w:rsidP="00366BCF">
      <w:pPr>
        <w:tabs>
          <w:tab w:val="left" w:pos="0"/>
          <w:tab w:val="left" w:pos="1985"/>
        </w:tabs>
        <w:spacing w:after="0" w:line="360" w:lineRule="auto"/>
        <w:ind w:left="709"/>
        <w:jc w:val="both"/>
        <w:rPr>
          <w:rFonts w:ascii="Arial" w:hAnsi="Arial" w:cs="Arial"/>
        </w:rPr>
      </w:pPr>
      <w:r w:rsidRPr="00025F36">
        <w:rPr>
          <w:rFonts w:ascii="Arial" w:hAnsi="Arial" w:cs="Arial"/>
        </w:rPr>
        <w:lastRenderedPageBreak/>
        <w:t>The Department issued letters to HOD’s on 16 April 2015 to inform them of the training process and to request them to ensure that notifications to all partners are issued.</w:t>
      </w:r>
    </w:p>
    <w:p w:rsidR="00976B86" w:rsidRPr="00025F36" w:rsidRDefault="00976B86" w:rsidP="00366BCF">
      <w:pPr>
        <w:tabs>
          <w:tab w:val="left" w:pos="0"/>
          <w:tab w:val="left" w:pos="1985"/>
        </w:tabs>
        <w:spacing w:after="0" w:line="360" w:lineRule="auto"/>
        <w:ind w:left="709"/>
        <w:jc w:val="both"/>
        <w:rPr>
          <w:rFonts w:ascii="Arial" w:hAnsi="Arial" w:cs="Arial"/>
        </w:rPr>
      </w:pPr>
    </w:p>
    <w:p w:rsidR="00976B86" w:rsidRPr="00025F36" w:rsidRDefault="00976B86" w:rsidP="00366BCF">
      <w:pPr>
        <w:tabs>
          <w:tab w:val="left" w:pos="0"/>
          <w:tab w:val="left" w:pos="1985"/>
        </w:tabs>
        <w:spacing w:after="0" w:line="360" w:lineRule="auto"/>
        <w:ind w:left="709"/>
        <w:jc w:val="both"/>
        <w:rPr>
          <w:rFonts w:ascii="Arial" w:hAnsi="Arial" w:cs="Arial"/>
        </w:rPr>
      </w:pPr>
      <w:r w:rsidRPr="00025F36">
        <w:rPr>
          <w:rFonts w:ascii="Arial" w:hAnsi="Arial" w:cs="Arial"/>
        </w:rPr>
        <w:t>A National Task Team (NTT) for the development of CAPS training guideline document for the three (3) Technical subjects specialisation; Civil technology, Electrical technology, and Mechanical technology have been developed and finalised.</w:t>
      </w:r>
    </w:p>
    <w:p w:rsidR="00976B86" w:rsidRPr="00025F36" w:rsidRDefault="00976B86" w:rsidP="00366BCF">
      <w:pPr>
        <w:tabs>
          <w:tab w:val="left" w:pos="0"/>
          <w:tab w:val="left" w:pos="1985"/>
        </w:tabs>
        <w:spacing w:after="0" w:line="360" w:lineRule="auto"/>
        <w:ind w:left="709"/>
        <w:jc w:val="both"/>
        <w:rPr>
          <w:rFonts w:ascii="Arial" w:hAnsi="Arial" w:cs="Arial"/>
        </w:rPr>
      </w:pPr>
    </w:p>
    <w:p w:rsidR="00976B86" w:rsidRPr="00025F36" w:rsidRDefault="00976B86" w:rsidP="00366BCF">
      <w:pPr>
        <w:tabs>
          <w:tab w:val="left" w:pos="0"/>
          <w:tab w:val="left" w:pos="1985"/>
        </w:tabs>
        <w:spacing w:after="0" w:line="360" w:lineRule="auto"/>
        <w:ind w:left="709"/>
        <w:jc w:val="both"/>
        <w:rPr>
          <w:rFonts w:ascii="Arial" w:hAnsi="Arial" w:cs="Arial"/>
        </w:rPr>
      </w:pPr>
      <w:r w:rsidRPr="00025F36">
        <w:rPr>
          <w:rFonts w:ascii="Arial" w:hAnsi="Arial" w:cs="Arial"/>
        </w:rPr>
        <w:t>A National Task Team (NTT) for the development of CAPS training guideline document for Technical Sciences and Technical Mathematics has been developed and finalised.</w:t>
      </w:r>
    </w:p>
    <w:p w:rsidR="00976B86" w:rsidRPr="00025F36" w:rsidRDefault="00976B86" w:rsidP="00366BCF">
      <w:pPr>
        <w:tabs>
          <w:tab w:val="left" w:pos="0"/>
          <w:tab w:val="left" w:pos="1985"/>
        </w:tabs>
        <w:spacing w:after="0" w:line="360" w:lineRule="auto"/>
        <w:ind w:left="709"/>
        <w:jc w:val="both"/>
        <w:rPr>
          <w:rFonts w:ascii="Arial" w:hAnsi="Arial" w:cs="Arial"/>
        </w:rPr>
      </w:pPr>
    </w:p>
    <w:p w:rsidR="00976B86" w:rsidRPr="00025F36" w:rsidRDefault="00976B86" w:rsidP="00366BCF">
      <w:pPr>
        <w:tabs>
          <w:tab w:val="left" w:pos="0"/>
          <w:tab w:val="left" w:pos="1985"/>
        </w:tabs>
        <w:spacing w:after="0" w:line="360" w:lineRule="auto"/>
        <w:ind w:left="709"/>
        <w:jc w:val="both"/>
        <w:rPr>
          <w:rFonts w:ascii="Arial" w:hAnsi="Arial" w:cs="Arial"/>
        </w:rPr>
      </w:pPr>
      <w:r w:rsidRPr="00025F36">
        <w:rPr>
          <w:rFonts w:ascii="Arial" w:hAnsi="Arial" w:cs="Arial"/>
        </w:rPr>
        <w:t>Subject Advisors and Teacher training on the three (3) Technical subjects has been scheduled for 29 June – 03 July and 05-09 October 2015 (School Holidays) and these dates have been communicated to all provinces. The training of Technical Mathematics and Technical Sciences has been scheduled for July 2015 and these dates have also been communicated to all provinces. The training is aimed at 70% skills transfer and 30% on the strengthening of theory of the specialisation.</w:t>
      </w:r>
    </w:p>
    <w:p w:rsidR="00976B86" w:rsidRPr="00025F36" w:rsidRDefault="00976B86" w:rsidP="00366BCF">
      <w:pPr>
        <w:tabs>
          <w:tab w:val="left" w:pos="0"/>
          <w:tab w:val="left" w:pos="1985"/>
        </w:tabs>
        <w:spacing w:after="0" w:line="360" w:lineRule="auto"/>
        <w:jc w:val="both"/>
        <w:rPr>
          <w:rFonts w:ascii="Arial" w:hAnsi="Arial" w:cs="Arial"/>
        </w:rPr>
      </w:pPr>
    </w:p>
    <w:p w:rsidR="00976B86" w:rsidRPr="00025F36" w:rsidRDefault="00976B86" w:rsidP="00366BCF">
      <w:pPr>
        <w:spacing w:after="0" w:line="360" w:lineRule="auto"/>
        <w:ind w:left="709"/>
        <w:jc w:val="both"/>
        <w:rPr>
          <w:rFonts w:ascii="Arial" w:hAnsi="Arial" w:cs="Arial"/>
        </w:rPr>
      </w:pPr>
      <w:r w:rsidRPr="00025F36">
        <w:rPr>
          <w:rFonts w:ascii="Arial" w:hAnsi="Arial" w:cs="Arial"/>
        </w:rPr>
        <w:t>The funding for this training will be sourced from the reconfigured MST Conditional Grant. The objective of the grant is to, supply machinery, supply of equipments and tools. The objective of the grant is to train subject advisors and teachers, building of new workshops, refurbishing of existing workshops and supplying equipment, machinery and tools.</w:t>
      </w:r>
    </w:p>
    <w:p w:rsidR="00976B86" w:rsidRPr="00025F36" w:rsidRDefault="00976B86" w:rsidP="00366BCF">
      <w:pPr>
        <w:pStyle w:val="ListParagraph"/>
        <w:numPr>
          <w:ilvl w:val="0"/>
          <w:numId w:val="23"/>
        </w:numPr>
        <w:spacing w:after="0" w:line="360" w:lineRule="auto"/>
        <w:ind w:left="709" w:hanging="720"/>
        <w:jc w:val="both"/>
        <w:outlineLvl w:val="0"/>
        <w:rPr>
          <w:rFonts w:ascii="Arial" w:hAnsi="Arial" w:cs="Arial"/>
        </w:rPr>
      </w:pPr>
      <w:r w:rsidRPr="00025F36">
        <w:rPr>
          <w:rFonts w:ascii="Arial" w:hAnsi="Arial" w:cs="Arial"/>
        </w:rPr>
        <w:t>(a)(i)(aa) (a)(ii)(bb)(cc)(dd)(ee) Numbers and percentage of learners offering Technology subjects per Province from 2005, 2008, 2010 and 2012.</w:t>
      </w:r>
    </w:p>
    <w:p w:rsidR="00976B86" w:rsidRPr="00025F36" w:rsidRDefault="00976B86" w:rsidP="00366BCF">
      <w:pPr>
        <w:spacing w:after="0" w:line="360" w:lineRule="auto"/>
        <w:jc w:val="both"/>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643"/>
        <w:gridCol w:w="1182"/>
        <w:gridCol w:w="899"/>
        <w:gridCol w:w="1182"/>
        <w:gridCol w:w="851"/>
        <w:gridCol w:w="1182"/>
        <w:gridCol w:w="927"/>
      </w:tblGrid>
      <w:tr w:rsidR="00976B86" w:rsidRPr="005D6154" w:rsidTr="005D6154">
        <w:tc>
          <w:tcPr>
            <w:tcW w:w="1242" w:type="dxa"/>
            <w:vMerge w:val="restart"/>
            <w:vAlign w:val="center"/>
          </w:tcPr>
          <w:p w:rsidR="00976B86" w:rsidRPr="005D6154" w:rsidRDefault="00976B86" w:rsidP="005D6154">
            <w:pPr>
              <w:spacing w:after="0" w:line="360" w:lineRule="auto"/>
              <w:jc w:val="center"/>
              <w:outlineLvl w:val="0"/>
              <w:rPr>
                <w:rFonts w:ascii="Arial" w:hAnsi="Arial" w:cs="Arial"/>
                <w:b/>
                <w:lang w:eastAsia="en-ZA"/>
              </w:rPr>
            </w:pPr>
            <w:r w:rsidRPr="005D6154">
              <w:rPr>
                <w:rFonts w:ascii="Arial" w:hAnsi="Arial" w:cs="Arial"/>
                <w:b/>
                <w:lang w:eastAsia="en-ZA"/>
              </w:rPr>
              <w:t>YEAR</w:t>
            </w:r>
          </w:p>
        </w:tc>
        <w:tc>
          <w:tcPr>
            <w:tcW w:w="1777" w:type="dxa"/>
            <w:gridSpan w:val="2"/>
            <w:vAlign w:val="center"/>
          </w:tcPr>
          <w:p w:rsidR="00976B86" w:rsidRPr="005D6154" w:rsidRDefault="00976B86" w:rsidP="005D6154">
            <w:pPr>
              <w:spacing w:after="0" w:line="360" w:lineRule="auto"/>
              <w:jc w:val="center"/>
              <w:outlineLvl w:val="0"/>
              <w:rPr>
                <w:rFonts w:ascii="Arial" w:hAnsi="Arial" w:cs="Arial"/>
                <w:b/>
                <w:lang w:eastAsia="en-ZA"/>
              </w:rPr>
            </w:pPr>
            <w:r w:rsidRPr="005D6154">
              <w:rPr>
                <w:rFonts w:ascii="Arial" w:hAnsi="Arial" w:cs="Arial"/>
                <w:b/>
                <w:lang w:eastAsia="en-ZA"/>
              </w:rPr>
              <w:t>Civil Technology</w:t>
            </w:r>
          </w:p>
        </w:tc>
        <w:tc>
          <w:tcPr>
            <w:tcW w:w="2081" w:type="dxa"/>
            <w:gridSpan w:val="2"/>
            <w:vAlign w:val="center"/>
          </w:tcPr>
          <w:p w:rsidR="00976B86" w:rsidRPr="005D6154" w:rsidRDefault="00976B86" w:rsidP="005D6154">
            <w:pPr>
              <w:spacing w:after="0" w:line="360" w:lineRule="auto"/>
              <w:jc w:val="center"/>
              <w:outlineLvl w:val="0"/>
              <w:rPr>
                <w:rFonts w:ascii="Arial" w:hAnsi="Arial" w:cs="Arial"/>
                <w:b/>
                <w:lang w:eastAsia="en-ZA"/>
              </w:rPr>
            </w:pPr>
            <w:r w:rsidRPr="005D6154">
              <w:rPr>
                <w:rFonts w:ascii="Arial" w:hAnsi="Arial" w:cs="Arial"/>
                <w:b/>
                <w:bCs/>
                <w:color w:val="000000"/>
                <w:lang w:eastAsia="en-ZA"/>
              </w:rPr>
              <w:t>Engineering Graphics And Design</w:t>
            </w:r>
            <w:r w:rsidRPr="005D6154">
              <w:rPr>
                <w:rFonts w:ascii="Arial" w:hAnsi="Arial" w:cs="Arial"/>
                <w:b/>
                <w:color w:val="000000"/>
                <w:lang w:eastAsia="en-ZA"/>
              </w:rPr>
              <w:t xml:space="preserve"> (</w:t>
            </w:r>
            <w:r w:rsidRPr="005D6154">
              <w:rPr>
                <w:rFonts w:ascii="Arial" w:hAnsi="Arial" w:cs="Arial"/>
                <w:b/>
                <w:lang w:eastAsia="en-ZA"/>
              </w:rPr>
              <w:t>EGD)</w:t>
            </w:r>
          </w:p>
        </w:tc>
        <w:tc>
          <w:tcPr>
            <w:tcW w:w="2033" w:type="dxa"/>
            <w:gridSpan w:val="2"/>
            <w:vAlign w:val="center"/>
          </w:tcPr>
          <w:p w:rsidR="00976B86" w:rsidRPr="005D6154" w:rsidRDefault="00976B86" w:rsidP="005D6154">
            <w:pPr>
              <w:spacing w:after="0" w:line="360" w:lineRule="auto"/>
              <w:jc w:val="center"/>
              <w:outlineLvl w:val="0"/>
              <w:rPr>
                <w:rFonts w:ascii="Arial" w:hAnsi="Arial" w:cs="Arial"/>
                <w:b/>
                <w:lang w:eastAsia="en-ZA"/>
              </w:rPr>
            </w:pPr>
            <w:r w:rsidRPr="005D6154">
              <w:rPr>
                <w:rFonts w:ascii="Arial" w:hAnsi="Arial" w:cs="Arial"/>
                <w:b/>
                <w:lang w:eastAsia="en-ZA"/>
              </w:rPr>
              <w:t>Electrical</w:t>
            </w:r>
          </w:p>
        </w:tc>
        <w:tc>
          <w:tcPr>
            <w:tcW w:w="2109" w:type="dxa"/>
            <w:gridSpan w:val="2"/>
            <w:vAlign w:val="center"/>
          </w:tcPr>
          <w:p w:rsidR="00976B86" w:rsidRPr="005D6154" w:rsidRDefault="00976B86" w:rsidP="005D6154">
            <w:pPr>
              <w:spacing w:after="0" w:line="360" w:lineRule="auto"/>
              <w:jc w:val="center"/>
              <w:outlineLvl w:val="0"/>
              <w:rPr>
                <w:rFonts w:ascii="Arial" w:hAnsi="Arial" w:cs="Arial"/>
                <w:b/>
                <w:lang w:eastAsia="en-ZA"/>
              </w:rPr>
            </w:pPr>
            <w:r w:rsidRPr="005D6154">
              <w:rPr>
                <w:rFonts w:ascii="Arial" w:hAnsi="Arial" w:cs="Arial"/>
                <w:b/>
                <w:lang w:eastAsia="en-ZA"/>
              </w:rPr>
              <w:t>Mechanical</w:t>
            </w:r>
          </w:p>
        </w:tc>
      </w:tr>
      <w:tr w:rsidR="00976B86" w:rsidRPr="005D6154" w:rsidTr="005D6154">
        <w:tc>
          <w:tcPr>
            <w:tcW w:w="1242" w:type="dxa"/>
            <w:vMerge/>
            <w:vAlign w:val="center"/>
          </w:tcPr>
          <w:p w:rsidR="00976B86" w:rsidRPr="005D6154" w:rsidRDefault="00976B86" w:rsidP="005D6154">
            <w:pPr>
              <w:spacing w:after="0" w:line="360" w:lineRule="auto"/>
              <w:jc w:val="center"/>
              <w:outlineLvl w:val="0"/>
              <w:rPr>
                <w:rFonts w:ascii="Arial" w:hAnsi="Arial" w:cs="Arial"/>
                <w:b/>
                <w:lang w:eastAsia="en-ZA"/>
              </w:rPr>
            </w:pPr>
          </w:p>
        </w:tc>
        <w:tc>
          <w:tcPr>
            <w:tcW w:w="1134" w:type="dxa"/>
            <w:vAlign w:val="center"/>
          </w:tcPr>
          <w:p w:rsidR="00976B86" w:rsidRPr="005D6154" w:rsidRDefault="00976B86" w:rsidP="005D6154">
            <w:pPr>
              <w:spacing w:after="0" w:line="360" w:lineRule="auto"/>
              <w:jc w:val="center"/>
              <w:outlineLvl w:val="0"/>
              <w:rPr>
                <w:rFonts w:ascii="Arial" w:hAnsi="Arial" w:cs="Arial"/>
                <w:b/>
                <w:sz w:val="20"/>
                <w:szCs w:val="20"/>
                <w:lang w:eastAsia="en-ZA"/>
              </w:rPr>
            </w:pPr>
            <w:r w:rsidRPr="005D6154">
              <w:rPr>
                <w:rFonts w:ascii="Arial" w:hAnsi="Arial" w:cs="Arial"/>
                <w:b/>
                <w:sz w:val="20"/>
                <w:szCs w:val="20"/>
                <w:lang w:eastAsia="en-ZA"/>
              </w:rPr>
              <w:t>NUMBER WROTE</w:t>
            </w:r>
          </w:p>
        </w:tc>
        <w:tc>
          <w:tcPr>
            <w:tcW w:w="643" w:type="dxa"/>
            <w:vAlign w:val="center"/>
          </w:tcPr>
          <w:p w:rsidR="00976B86" w:rsidRPr="005D6154" w:rsidRDefault="00976B86" w:rsidP="005D6154">
            <w:pPr>
              <w:spacing w:after="0" w:line="360" w:lineRule="auto"/>
              <w:jc w:val="center"/>
              <w:outlineLvl w:val="0"/>
              <w:rPr>
                <w:rFonts w:ascii="Arial" w:hAnsi="Arial" w:cs="Arial"/>
                <w:b/>
                <w:sz w:val="20"/>
                <w:szCs w:val="20"/>
                <w:lang w:eastAsia="en-ZA"/>
              </w:rPr>
            </w:pPr>
            <w:r w:rsidRPr="005D6154">
              <w:rPr>
                <w:rFonts w:ascii="Arial" w:hAnsi="Arial" w:cs="Arial"/>
                <w:b/>
                <w:sz w:val="20"/>
                <w:szCs w:val="20"/>
                <w:lang w:eastAsia="en-ZA"/>
              </w:rPr>
              <w:t>%</w:t>
            </w:r>
          </w:p>
        </w:tc>
        <w:tc>
          <w:tcPr>
            <w:tcW w:w="1182" w:type="dxa"/>
            <w:vAlign w:val="center"/>
          </w:tcPr>
          <w:p w:rsidR="00976B86" w:rsidRPr="005D6154" w:rsidRDefault="00976B86" w:rsidP="005D6154">
            <w:pPr>
              <w:spacing w:after="0" w:line="360" w:lineRule="auto"/>
              <w:jc w:val="center"/>
              <w:outlineLvl w:val="0"/>
              <w:rPr>
                <w:rFonts w:ascii="Arial" w:hAnsi="Arial" w:cs="Arial"/>
                <w:b/>
                <w:sz w:val="20"/>
                <w:szCs w:val="20"/>
                <w:lang w:eastAsia="en-ZA"/>
              </w:rPr>
            </w:pPr>
            <w:r w:rsidRPr="005D6154">
              <w:rPr>
                <w:rFonts w:ascii="Arial" w:hAnsi="Arial" w:cs="Arial"/>
                <w:b/>
                <w:sz w:val="20"/>
                <w:szCs w:val="20"/>
                <w:lang w:eastAsia="en-ZA"/>
              </w:rPr>
              <w:t>NUMBER WROTE</w:t>
            </w:r>
          </w:p>
        </w:tc>
        <w:tc>
          <w:tcPr>
            <w:tcW w:w="899" w:type="dxa"/>
            <w:vAlign w:val="center"/>
          </w:tcPr>
          <w:p w:rsidR="00976B86" w:rsidRPr="005D6154" w:rsidRDefault="00976B86" w:rsidP="005D6154">
            <w:pPr>
              <w:spacing w:after="0" w:line="360" w:lineRule="auto"/>
              <w:jc w:val="center"/>
              <w:outlineLvl w:val="0"/>
              <w:rPr>
                <w:rFonts w:ascii="Arial" w:hAnsi="Arial" w:cs="Arial"/>
                <w:b/>
                <w:sz w:val="20"/>
                <w:szCs w:val="20"/>
                <w:lang w:eastAsia="en-ZA"/>
              </w:rPr>
            </w:pPr>
            <w:r w:rsidRPr="005D6154">
              <w:rPr>
                <w:rFonts w:ascii="Arial" w:hAnsi="Arial" w:cs="Arial"/>
                <w:b/>
                <w:sz w:val="20"/>
                <w:szCs w:val="20"/>
                <w:lang w:eastAsia="en-ZA"/>
              </w:rPr>
              <w:t>%</w:t>
            </w:r>
          </w:p>
        </w:tc>
        <w:tc>
          <w:tcPr>
            <w:tcW w:w="1182" w:type="dxa"/>
            <w:vAlign w:val="center"/>
          </w:tcPr>
          <w:p w:rsidR="00976B86" w:rsidRPr="005D6154" w:rsidRDefault="00976B86" w:rsidP="005D6154">
            <w:pPr>
              <w:spacing w:after="0" w:line="360" w:lineRule="auto"/>
              <w:jc w:val="center"/>
              <w:outlineLvl w:val="0"/>
              <w:rPr>
                <w:rFonts w:ascii="Arial" w:hAnsi="Arial" w:cs="Arial"/>
                <w:b/>
                <w:sz w:val="20"/>
                <w:szCs w:val="20"/>
                <w:lang w:eastAsia="en-ZA"/>
              </w:rPr>
            </w:pPr>
            <w:r w:rsidRPr="005D6154">
              <w:rPr>
                <w:rFonts w:ascii="Arial" w:hAnsi="Arial" w:cs="Arial"/>
                <w:b/>
                <w:sz w:val="20"/>
                <w:szCs w:val="20"/>
                <w:lang w:eastAsia="en-ZA"/>
              </w:rPr>
              <w:t>NUMBER WROTE</w:t>
            </w:r>
          </w:p>
        </w:tc>
        <w:tc>
          <w:tcPr>
            <w:tcW w:w="851" w:type="dxa"/>
            <w:vAlign w:val="center"/>
          </w:tcPr>
          <w:p w:rsidR="00976B86" w:rsidRPr="005D6154" w:rsidRDefault="00976B86" w:rsidP="005D6154">
            <w:pPr>
              <w:spacing w:after="0" w:line="360" w:lineRule="auto"/>
              <w:jc w:val="center"/>
              <w:outlineLvl w:val="0"/>
              <w:rPr>
                <w:rFonts w:ascii="Arial" w:hAnsi="Arial" w:cs="Arial"/>
                <w:b/>
                <w:sz w:val="20"/>
                <w:szCs w:val="20"/>
                <w:lang w:eastAsia="en-ZA"/>
              </w:rPr>
            </w:pPr>
            <w:r w:rsidRPr="005D6154">
              <w:rPr>
                <w:rFonts w:ascii="Arial" w:hAnsi="Arial" w:cs="Arial"/>
                <w:b/>
                <w:sz w:val="20"/>
                <w:szCs w:val="20"/>
                <w:lang w:eastAsia="en-ZA"/>
              </w:rPr>
              <w:t>%</w:t>
            </w:r>
          </w:p>
        </w:tc>
        <w:tc>
          <w:tcPr>
            <w:tcW w:w="1182" w:type="dxa"/>
            <w:vAlign w:val="center"/>
          </w:tcPr>
          <w:p w:rsidR="00976B86" w:rsidRPr="005D6154" w:rsidRDefault="00976B86" w:rsidP="005D6154">
            <w:pPr>
              <w:spacing w:after="0" w:line="360" w:lineRule="auto"/>
              <w:jc w:val="center"/>
              <w:outlineLvl w:val="0"/>
              <w:rPr>
                <w:rFonts w:ascii="Arial" w:hAnsi="Arial" w:cs="Arial"/>
                <w:b/>
                <w:sz w:val="20"/>
                <w:szCs w:val="20"/>
                <w:lang w:eastAsia="en-ZA"/>
              </w:rPr>
            </w:pPr>
            <w:r w:rsidRPr="005D6154">
              <w:rPr>
                <w:rFonts w:ascii="Arial" w:hAnsi="Arial" w:cs="Arial"/>
                <w:b/>
                <w:sz w:val="20"/>
                <w:szCs w:val="20"/>
                <w:lang w:eastAsia="en-ZA"/>
              </w:rPr>
              <w:t>NUMBER WROTE</w:t>
            </w:r>
          </w:p>
        </w:tc>
        <w:tc>
          <w:tcPr>
            <w:tcW w:w="927" w:type="dxa"/>
            <w:vAlign w:val="center"/>
          </w:tcPr>
          <w:p w:rsidR="00976B86" w:rsidRPr="005D6154" w:rsidRDefault="00976B86" w:rsidP="005D6154">
            <w:pPr>
              <w:spacing w:after="0" w:line="360" w:lineRule="auto"/>
              <w:jc w:val="center"/>
              <w:outlineLvl w:val="0"/>
              <w:rPr>
                <w:rFonts w:ascii="Arial" w:hAnsi="Arial" w:cs="Arial"/>
                <w:b/>
                <w:sz w:val="20"/>
                <w:szCs w:val="20"/>
                <w:lang w:eastAsia="en-ZA"/>
              </w:rPr>
            </w:pPr>
            <w:r w:rsidRPr="005D6154">
              <w:rPr>
                <w:rFonts w:ascii="Arial" w:hAnsi="Arial" w:cs="Arial"/>
                <w:b/>
                <w:sz w:val="20"/>
                <w:szCs w:val="20"/>
                <w:lang w:eastAsia="en-ZA"/>
              </w:rPr>
              <w:t>%</w:t>
            </w:r>
          </w:p>
        </w:tc>
      </w:tr>
      <w:tr w:rsidR="00976B86" w:rsidRPr="005D6154" w:rsidTr="005D6154">
        <w:tc>
          <w:tcPr>
            <w:tcW w:w="1242" w:type="dxa"/>
            <w:vAlign w:val="center"/>
          </w:tcPr>
          <w:p w:rsidR="00976B86" w:rsidRPr="005D6154" w:rsidRDefault="00976B86" w:rsidP="005D6154">
            <w:pPr>
              <w:spacing w:after="0" w:line="360" w:lineRule="auto"/>
              <w:rPr>
                <w:rFonts w:ascii="Arial" w:hAnsi="Arial" w:cs="Arial"/>
                <w:bCs/>
                <w:color w:val="000000"/>
                <w:sz w:val="20"/>
                <w:szCs w:val="20"/>
                <w:lang w:eastAsia="en-ZA"/>
              </w:rPr>
            </w:pPr>
            <w:r w:rsidRPr="005D6154">
              <w:rPr>
                <w:rFonts w:ascii="Arial" w:hAnsi="Arial" w:cs="Arial"/>
                <w:bCs/>
                <w:color w:val="000000"/>
                <w:sz w:val="20"/>
                <w:szCs w:val="20"/>
                <w:lang w:eastAsia="en-ZA"/>
              </w:rPr>
              <w:t>(aa) 2005</w:t>
            </w:r>
          </w:p>
        </w:tc>
        <w:tc>
          <w:tcPr>
            <w:tcW w:w="1134" w:type="dxa"/>
            <w:vAlign w:val="center"/>
          </w:tcPr>
          <w:p w:rsidR="00976B86" w:rsidRPr="005D6154" w:rsidRDefault="00976B86" w:rsidP="005D6154">
            <w:pPr>
              <w:spacing w:after="0" w:line="360" w:lineRule="auto"/>
              <w:jc w:val="center"/>
              <w:rPr>
                <w:rFonts w:ascii="Arial" w:hAnsi="Arial" w:cs="Arial"/>
                <w:bCs/>
                <w:color w:val="000000"/>
                <w:sz w:val="20"/>
                <w:szCs w:val="20"/>
                <w:lang w:eastAsia="en-ZA"/>
              </w:rPr>
            </w:pPr>
            <w:r w:rsidRPr="005D6154">
              <w:rPr>
                <w:rFonts w:ascii="Arial" w:hAnsi="Arial" w:cs="Arial"/>
                <w:bCs/>
                <w:color w:val="000000"/>
                <w:sz w:val="20"/>
                <w:szCs w:val="20"/>
                <w:lang w:eastAsia="en-ZA"/>
              </w:rPr>
              <w:t>10283</w:t>
            </w:r>
          </w:p>
        </w:tc>
        <w:tc>
          <w:tcPr>
            <w:tcW w:w="643" w:type="dxa"/>
            <w:vAlign w:val="center"/>
          </w:tcPr>
          <w:p w:rsidR="00976B86" w:rsidRPr="005D6154" w:rsidRDefault="00976B86" w:rsidP="005D6154">
            <w:pPr>
              <w:spacing w:after="0" w:line="360" w:lineRule="auto"/>
              <w:jc w:val="center"/>
              <w:rPr>
                <w:rFonts w:ascii="Arial" w:hAnsi="Arial" w:cs="Arial"/>
                <w:color w:val="000000"/>
                <w:sz w:val="20"/>
                <w:szCs w:val="20"/>
                <w:lang w:eastAsia="en-ZA"/>
              </w:rPr>
            </w:pPr>
            <w:r w:rsidRPr="005D6154">
              <w:rPr>
                <w:rFonts w:ascii="Arial" w:hAnsi="Arial" w:cs="Arial"/>
                <w:color w:val="000000"/>
                <w:sz w:val="20"/>
                <w:szCs w:val="20"/>
                <w:lang w:eastAsia="en-ZA"/>
              </w:rPr>
              <w:t>2%</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20653</w:t>
            </w:r>
          </w:p>
        </w:tc>
        <w:tc>
          <w:tcPr>
            <w:tcW w:w="899"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4%</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6510</w:t>
            </w:r>
          </w:p>
        </w:tc>
        <w:tc>
          <w:tcPr>
            <w:tcW w:w="851"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1%</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6728</w:t>
            </w:r>
          </w:p>
        </w:tc>
        <w:tc>
          <w:tcPr>
            <w:tcW w:w="927"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1%</w:t>
            </w:r>
          </w:p>
        </w:tc>
      </w:tr>
      <w:tr w:rsidR="00976B86" w:rsidRPr="005D6154" w:rsidTr="005D6154">
        <w:tc>
          <w:tcPr>
            <w:tcW w:w="1242" w:type="dxa"/>
            <w:vAlign w:val="center"/>
          </w:tcPr>
          <w:p w:rsidR="00976B86" w:rsidRPr="005D6154" w:rsidRDefault="00976B86" w:rsidP="005D6154">
            <w:pPr>
              <w:spacing w:after="0" w:line="360" w:lineRule="auto"/>
              <w:rPr>
                <w:rFonts w:ascii="Arial" w:hAnsi="Arial" w:cs="Arial"/>
                <w:bCs/>
                <w:color w:val="000000"/>
                <w:sz w:val="20"/>
                <w:szCs w:val="20"/>
                <w:lang w:eastAsia="en-ZA"/>
              </w:rPr>
            </w:pPr>
            <w:r w:rsidRPr="005D6154">
              <w:rPr>
                <w:rFonts w:ascii="Arial" w:hAnsi="Arial" w:cs="Arial"/>
                <w:bCs/>
                <w:color w:val="000000"/>
                <w:sz w:val="20"/>
                <w:szCs w:val="20"/>
                <w:lang w:eastAsia="en-ZA"/>
              </w:rPr>
              <w:t>(bb) 2008</w:t>
            </w:r>
          </w:p>
        </w:tc>
        <w:tc>
          <w:tcPr>
            <w:tcW w:w="1134" w:type="dxa"/>
            <w:vAlign w:val="center"/>
          </w:tcPr>
          <w:p w:rsidR="00976B86" w:rsidRPr="005D6154" w:rsidRDefault="00976B86" w:rsidP="005D6154">
            <w:pPr>
              <w:spacing w:after="0" w:line="360" w:lineRule="auto"/>
              <w:jc w:val="center"/>
              <w:rPr>
                <w:rFonts w:ascii="Arial" w:hAnsi="Arial" w:cs="Arial"/>
                <w:bCs/>
                <w:color w:val="000000"/>
                <w:sz w:val="20"/>
                <w:szCs w:val="20"/>
                <w:lang w:eastAsia="en-ZA"/>
              </w:rPr>
            </w:pPr>
            <w:r w:rsidRPr="005D6154">
              <w:rPr>
                <w:rFonts w:ascii="Arial" w:hAnsi="Arial" w:cs="Arial"/>
                <w:bCs/>
                <w:color w:val="000000"/>
                <w:sz w:val="20"/>
                <w:szCs w:val="20"/>
                <w:lang w:eastAsia="en-ZA"/>
              </w:rPr>
              <w:t>10392</w:t>
            </w:r>
          </w:p>
        </w:tc>
        <w:tc>
          <w:tcPr>
            <w:tcW w:w="643" w:type="dxa"/>
            <w:vAlign w:val="center"/>
          </w:tcPr>
          <w:p w:rsidR="00976B86" w:rsidRPr="005D6154" w:rsidRDefault="00976B86" w:rsidP="005D6154">
            <w:pPr>
              <w:spacing w:after="0" w:line="360" w:lineRule="auto"/>
              <w:jc w:val="center"/>
              <w:rPr>
                <w:rFonts w:ascii="Arial" w:hAnsi="Arial" w:cs="Arial"/>
                <w:color w:val="000000"/>
                <w:sz w:val="20"/>
                <w:szCs w:val="20"/>
                <w:lang w:eastAsia="en-ZA"/>
              </w:rPr>
            </w:pPr>
            <w:r w:rsidRPr="005D6154">
              <w:rPr>
                <w:rFonts w:ascii="Arial" w:hAnsi="Arial" w:cs="Arial"/>
                <w:color w:val="000000"/>
                <w:sz w:val="20"/>
                <w:szCs w:val="20"/>
                <w:lang w:eastAsia="en-ZA"/>
              </w:rPr>
              <w:t>2%</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26491</w:t>
            </w:r>
          </w:p>
        </w:tc>
        <w:tc>
          <w:tcPr>
            <w:tcW w:w="899"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5%</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7526</w:t>
            </w:r>
          </w:p>
        </w:tc>
        <w:tc>
          <w:tcPr>
            <w:tcW w:w="851"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1%</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7890</w:t>
            </w:r>
          </w:p>
        </w:tc>
        <w:tc>
          <w:tcPr>
            <w:tcW w:w="927"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1%</w:t>
            </w:r>
          </w:p>
        </w:tc>
      </w:tr>
      <w:tr w:rsidR="00976B86" w:rsidRPr="005D6154" w:rsidTr="005D6154">
        <w:tc>
          <w:tcPr>
            <w:tcW w:w="1242" w:type="dxa"/>
            <w:vAlign w:val="center"/>
          </w:tcPr>
          <w:p w:rsidR="00976B86" w:rsidRPr="005D6154" w:rsidRDefault="00976B86" w:rsidP="005D6154">
            <w:pPr>
              <w:spacing w:after="0" w:line="360" w:lineRule="auto"/>
              <w:rPr>
                <w:rFonts w:ascii="Arial" w:hAnsi="Arial" w:cs="Arial"/>
                <w:bCs/>
                <w:color w:val="000000"/>
                <w:sz w:val="20"/>
                <w:szCs w:val="20"/>
                <w:lang w:eastAsia="en-ZA"/>
              </w:rPr>
            </w:pPr>
            <w:r w:rsidRPr="005D6154">
              <w:rPr>
                <w:rFonts w:ascii="Arial" w:hAnsi="Arial" w:cs="Arial"/>
                <w:bCs/>
                <w:color w:val="000000"/>
                <w:sz w:val="20"/>
                <w:szCs w:val="20"/>
                <w:lang w:eastAsia="en-ZA"/>
              </w:rPr>
              <w:t>(cc) 2010</w:t>
            </w:r>
          </w:p>
        </w:tc>
        <w:tc>
          <w:tcPr>
            <w:tcW w:w="1134" w:type="dxa"/>
            <w:vAlign w:val="center"/>
          </w:tcPr>
          <w:p w:rsidR="00976B86" w:rsidRPr="005D6154" w:rsidRDefault="00976B86" w:rsidP="005D6154">
            <w:pPr>
              <w:spacing w:after="0" w:line="360" w:lineRule="auto"/>
              <w:jc w:val="center"/>
              <w:rPr>
                <w:rFonts w:ascii="Arial" w:hAnsi="Arial" w:cs="Arial"/>
                <w:bCs/>
                <w:color w:val="000000"/>
                <w:sz w:val="20"/>
                <w:szCs w:val="20"/>
                <w:lang w:eastAsia="en-ZA"/>
              </w:rPr>
            </w:pPr>
            <w:r w:rsidRPr="005D6154">
              <w:rPr>
                <w:rFonts w:ascii="Arial" w:hAnsi="Arial" w:cs="Arial"/>
                <w:bCs/>
                <w:color w:val="000000"/>
                <w:sz w:val="20"/>
                <w:szCs w:val="20"/>
                <w:lang w:eastAsia="en-ZA"/>
              </w:rPr>
              <w:t>9359</w:t>
            </w:r>
          </w:p>
        </w:tc>
        <w:tc>
          <w:tcPr>
            <w:tcW w:w="643" w:type="dxa"/>
            <w:vAlign w:val="center"/>
          </w:tcPr>
          <w:p w:rsidR="00976B86" w:rsidRPr="005D6154" w:rsidRDefault="00976B86" w:rsidP="005D6154">
            <w:pPr>
              <w:spacing w:after="0" w:line="360" w:lineRule="auto"/>
              <w:jc w:val="center"/>
              <w:rPr>
                <w:rFonts w:ascii="Arial" w:hAnsi="Arial" w:cs="Arial"/>
                <w:color w:val="000000"/>
                <w:sz w:val="20"/>
                <w:szCs w:val="20"/>
                <w:lang w:eastAsia="en-ZA"/>
              </w:rPr>
            </w:pPr>
            <w:r w:rsidRPr="005D6154">
              <w:rPr>
                <w:rFonts w:ascii="Arial" w:hAnsi="Arial" w:cs="Arial"/>
                <w:color w:val="000000"/>
                <w:sz w:val="20"/>
                <w:szCs w:val="20"/>
                <w:lang w:eastAsia="en-ZA"/>
              </w:rPr>
              <w:t>2%</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26350</w:t>
            </w:r>
          </w:p>
        </w:tc>
        <w:tc>
          <w:tcPr>
            <w:tcW w:w="899"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5%</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5843</w:t>
            </w:r>
          </w:p>
        </w:tc>
        <w:tc>
          <w:tcPr>
            <w:tcW w:w="851"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1%</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6859</w:t>
            </w:r>
          </w:p>
        </w:tc>
        <w:tc>
          <w:tcPr>
            <w:tcW w:w="927"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1%</w:t>
            </w:r>
          </w:p>
        </w:tc>
      </w:tr>
      <w:tr w:rsidR="00976B86" w:rsidRPr="005D6154" w:rsidTr="005D6154">
        <w:tc>
          <w:tcPr>
            <w:tcW w:w="1242" w:type="dxa"/>
            <w:vAlign w:val="center"/>
          </w:tcPr>
          <w:p w:rsidR="00976B86" w:rsidRPr="005D6154" w:rsidRDefault="00976B86" w:rsidP="005D6154">
            <w:pPr>
              <w:spacing w:after="0" w:line="360" w:lineRule="auto"/>
              <w:rPr>
                <w:rFonts w:ascii="Arial" w:hAnsi="Arial" w:cs="Arial"/>
                <w:bCs/>
                <w:color w:val="000000"/>
                <w:sz w:val="20"/>
                <w:szCs w:val="20"/>
                <w:lang w:eastAsia="en-ZA"/>
              </w:rPr>
            </w:pPr>
            <w:r w:rsidRPr="005D6154">
              <w:rPr>
                <w:rFonts w:ascii="Arial" w:hAnsi="Arial" w:cs="Arial"/>
                <w:bCs/>
                <w:color w:val="000000"/>
                <w:sz w:val="20"/>
                <w:szCs w:val="20"/>
                <w:lang w:eastAsia="en-ZA"/>
              </w:rPr>
              <w:lastRenderedPageBreak/>
              <w:t>(dd) 2012</w:t>
            </w:r>
          </w:p>
        </w:tc>
        <w:tc>
          <w:tcPr>
            <w:tcW w:w="1134" w:type="dxa"/>
            <w:vAlign w:val="center"/>
          </w:tcPr>
          <w:p w:rsidR="00976B86" w:rsidRPr="005D6154" w:rsidRDefault="00976B86" w:rsidP="005D6154">
            <w:pPr>
              <w:spacing w:after="0" w:line="360" w:lineRule="auto"/>
              <w:jc w:val="center"/>
              <w:rPr>
                <w:rFonts w:ascii="Arial" w:hAnsi="Arial" w:cs="Arial"/>
                <w:bCs/>
                <w:color w:val="000000"/>
                <w:sz w:val="20"/>
                <w:szCs w:val="20"/>
                <w:lang w:eastAsia="en-ZA"/>
              </w:rPr>
            </w:pPr>
            <w:r w:rsidRPr="005D6154">
              <w:rPr>
                <w:rFonts w:ascii="Arial" w:hAnsi="Arial" w:cs="Arial"/>
                <w:bCs/>
                <w:color w:val="000000"/>
                <w:sz w:val="20"/>
                <w:szCs w:val="20"/>
                <w:lang w:eastAsia="en-ZA"/>
              </w:rPr>
              <w:t>8759</w:t>
            </w:r>
          </w:p>
        </w:tc>
        <w:tc>
          <w:tcPr>
            <w:tcW w:w="643" w:type="dxa"/>
            <w:vAlign w:val="center"/>
          </w:tcPr>
          <w:p w:rsidR="00976B86" w:rsidRPr="005D6154" w:rsidRDefault="00976B86" w:rsidP="005D6154">
            <w:pPr>
              <w:spacing w:after="0" w:line="360" w:lineRule="auto"/>
              <w:jc w:val="center"/>
              <w:rPr>
                <w:rFonts w:ascii="Arial" w:hAnsi="Arial" w:cs="Arial"/>
                <w:color w:val="000000"/>
                <w:sz w:val="20"/>
                <w:szCs w:val="20"/>
                <w:lang w:eastAsia="en-ZA"/>
              </w:rPr>
            </w:pPr>
            <w:r w:rsidRPr="005D6154">
              <w:rPr>
                <w:rFonts w:ascii="Arial" w:hAnsi="Arial" w:cs="Arial"/>
                <w:color w:val="000000"/>
                <w:sz w:val="20"/>
                <w:szCs w:val="20"/>
                <w:lang w:eastAsia="en-ZA"/>
              </w:rPr>
              <w:t>2%</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val="en-GB" w:eastAsia="en-ZA"/>
              </w:rPr>
              <w:t>25070</w:t>
            </w:r>
          </w:p>
        </w:tc>
        <w:tc>
          <w:tcPr>
            <w:tcW w:w="899"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4%</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5010</w:t>
            </w:r>
          </w:p>
        </w:tc>
        <w:tc>
          <w:tcPr>
            <w:tcW w:w="851"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1%</w:t>
            </w:r>
          </w:p>
        </w:tc>
        <w:tc>
          <w:tcPr>
            <w:tcW w:w="1182" w:type="dxa"/>
            <w:vAlign w:val="center"/>
          </w:tcPr>
          <w:p w:rsidR="00976B86" w:rsidRPr="005D6154" w:rsidRDefault="00976B86" w:rsidP="005D6154">
            <w:pPr>
              <w:spacing w:after="0" w:line="360" w:lineRule="auto"/>
              <w:jc w:val="center"/>
              <w:rPr>
                <w:rFonts w:ascii="Arial" w:hAnsi="Arial" w:cs="Arial"/>
                <w:bCs/>
                <w:color w:val="000000"/>
                <w:lang w:eastAsia="en-ZA"/>
              </w:rPr>
            </w:pPr>
            <w:r w:rsidRPr="005D6154">
              <w:rPr>
                <w:rFonts w:ascii="Arial" w:hAnsi="Arial" w:cs="Arial"/>
                <w:bCs/>
                <w:color w:val="000000"/>
                <w:lang w:eastAsia="en-ZA"/>
              </w:rPr>
              <w:t>5975</w:t>
            </w:r>
          </w:p>
        </w:tc>
        <w:tc>
          <w:tcPr>
            <w:tcW w:w="927" w:type="dxa"/>
            <w:vAlign w:val="center"/>
          </w:tcPr>
          <w:p w:rsidR="00976B86" w:rsidRPr="005D6154" w:rsidRDefault="00976B86" w:rsidP="005D6154">
            <w:pPr>
              <w:spacing w:after="0" w:line="360" w:lineRule="auto"/>
              <w:jc w:val="center"/>
              <w:rPr>
                <w:rFonts w:ascii="Arial" w:hAnsi="Arial" w:cs="Arial"/>
                <w:color w:val="000000"/>
                <w:lang w:eastAsia="en-ZA"/>
              </w:rPr>
            </w:pPr>
            <w:r w:rsidRPr="005D6154">
              <w:rPr>
                <w:rFonts w:ascii="Arial" w:hAnsi="Arial" w:cs="Arial"/>
                <w:color w:val="000000"/>
                <w:lang w:eastAsia="en-ZA"/>
              </w:rPr>
              <w:t>1%</w:t>
            </w:r>
          </w:p>
        </w:tc>
      </w:tr>
      <w:tr w:rsidR="00976B86" w:rsidRPr="005D6154" w:rsidTr="005D6154">
        <w:tc>
          <w:tcPr>
            <w:tcW w:w="1242" w:type="dxa"/>
            <w:vAlign w:val="center"/>
          </w:tcPr>
          <w:p w:rsidR="00976B86" w:rsidRPr="005D6154" w:rsidRDefault="00976B86" w:rsidP="005D6154">
            <w:pPr>
              <w:spacing w:after="0" w:line="360" w:lineRule="auto"/>
              <w:rPr>
                <w:rFonts w:ascii="Arial" w:hAnsi="Arial" w:cs="Arial"/>
                <w:bCs/>
                <w:color w:val="000000"/>
                <w:sz w:val="20"/>
                <w:szCs w:val="20"/>
                <w:lang w:eastAsia="en-ZA"/>
              </w:rPr>
            </w:pPr>
            <w:r w:rsidRPr="005D6154">
              <w:rPr>
                <w:rFonts w:ascii="Arial" w:hAnsi="Arial" w:cs="Arial"/>
                <w:bCs/>
                <w:color w:val="000000"/>
                <w:sz w:val="20"/>
                <w:szCs w:val="20"/>
                <w:lang w:eastAsia="en-ZA"/>
              </w:rPr>
              <w:t>(ee) (2015)</w:t>
            </w:r>
          </w:p>
        </w:tc>
        <w:tc>
          <w:tcPr>
            <w:tcW w:w="8000" w:type="dxa"/>
            <w:gridSpan w:val="8"/>
            <w:vAlign w:val="center"/>
          </w:tcPr>
          <w:p w:rsidR="00976B86" w:rsidRPr="005D6154" w:rsidRDefault="00976B86" w:rsidP="005D6154">
            <w:pPr>
              <w:spacing w:after="0" w:line="360" w:lineRule="auto"/>
              <w:rPr>
                <w:rFonts w:ascii="Arial" w:hAnsi="Arial" w:cs="Arial"/>
                <w:color w:val="000000"/>
                <w:lang w:eastAsia="en-ZA"/>
              </w:rPr>
            </w:pPr>
            <w:r w:rsidRPr="005D6154">
              <w:rPr>
                <w:rFonts w:ascii="Arial" w:hAnsi="Arial" w:cs="Arial"/>
                <w:lang w:eastAsia="en-ZA"/>
              </w:rPr>
              <w:t>data is not yet available</w:t>
            </w:r>
          </w:p>
        </w:tc>
      </w:tr>
    </w:tbl>
    <w:p w:rsidR="00976B86" w:rsidRPr="00025F36" w:rsidRDefault="00976B86" w:rsidP="00366BCF">
      <w:pPr>
        <w:tabs>
          <w:tab w:val="left" w:pos="1985"/>
        </w:tabs>
        <w:spacing w:after="0" w:line="360" w:lineRule="auto"/>
        <w:jc w:val="both"/>
        <w:rPr>
          <w:rFonts w:ascii="Arial" w:hAnsi="Arial" w:cs="Arial"/>
        </w:rPr>
      </w:pPr>
    </w:p>
    <w:p w:rsidR="00976B86" w:rsidRPr="00025F36" w:rsidRDefault="00976B86" w:rsidP="00366BCF">
      <w:pPr>
        <w:tabs>
          <w:tab w:val="left" w:pos="1985"/>
        </w:tabs>
        <w:spacing w:after="0" w:line="360" w:lineRule="auto"/>
        <w:ind w:left="709"/>
        <w:jc w:val="both"/>
        <w:rPr>
          <w:rFonts w:ascii="Arial" w:hAnsi="Arial" w:cs="Arial"/>
        </w:rPr>
      </w:pPr>
      <w:r w:rsidRPr="00025F36">
        <w:rPr>
          <w:rFonts w:ascii="Arial" w:hAnsi="Arial" w:cs="Arial"/>
        </w:rPr>
        <w:t>(b)</w:t>
      </w:r>
      <w:r w:rsidRPr="00025F36">
        <w:rPr>
          <w:rFonts w:ascii="Arial" w:hAnsi="Arial" w:cs="Arial"/>
          <w:b/>
        </w:rPr>
        <w:t xml:space="preserve"> </w:t>
      </w:r>
      <w:r w:rsidRPr="00025F36">
        <w:rPr>
          <w:rFonts w:ascii="Arial" w:hAnsi="Arial" w:cs="Arial"/>
        </w:rPr>
        <w:t>All technology subjects are non-designated; i.e. HEIs do not recognise these subjects as requirements to university entrance.</w:t>
      </w:r>
    </w:p>
    <w:p w:rsidR="00976B86" w:rsidRPr="00025F36" w:rsidRDefault="00976B86" w:rsidP="00366BCF">
      <w:pPr>
        <w:tabs>
          <w:tab w:val="left" w:pos="1985"/>
        </w:tabs>
        <w:spacing w:after="0" w:line="360" w:lineRule="auto"/>
        <w:jc w:val="both"/>
        <w:rPr>
          <w:rFonts w:ascii="Arial" w:hAnsi="Arial" w:cs="Arial"/>
        </w:rPr>
      </w:pPr>
    </w:p>
    <w:p w:rsidR="00976B86" w:rsidRPr="00025F36" w:rsidRDefault="00976B86" w:rsidP="00366BCF">
      <w:pPr>
        <w:pStyle w:val="ListParagraph"/>
        <w:numPr>
          <w:ilvl w:val="0"/>
          <w:numId w:val="25"/>
        </w:numPr>
        <w:spacing w:after="0" w:line="360" w:lineRule="auto"/>
        <w:ind w:left="709" w:hanging="709"/>
        <w:jc w:val="both"/>
        <w:outlineLvl w:val="0"/>
        <w:rPr>
          <w:rFonts w:ascii="Arial" w:hAnsi="Arial" w:cs="Arial"/>
        </w:rPr>
      </w:pPr>
      <w:r w:rsidRPr="00025F36">
        <w:rPr>
          <w:rFonts w:ascii="Arial" w:hAnsi="Arial" w:cs="Arial"/>
        </w:rPr>
        <w:t xml:space="preserve">The Department is aware that the National Curriculum Statements (NCS) present foundational skills to all learners and these skills create opportunities for learners to enter further and higher education. Therefore the list of critical skills according to the </w:t>
      </w:r>
      <w:r w:rsidRPr="00025F36">
        <w:rPr>
          <w:rFonts w:ascii="Arial" w:hAnsi="Arial" w:cs="Arial"/>
          <w:i/>
        </w:rPr>
        <w:t>Government Gazette</w:t>
      </w:r>
      <w:r w:rsidRPr="00025F36">
        <w:rPr>
          <w:rFonts w:ascii="Arial" w:hAnsi="Arial" w:cs="Arial"/>
        </w:rPr>
        <w:t xml:space="preserve"> 37716 dated 3 June 2014 contains occupations that require the foundational skills, which are acquired through the basic education sector.</w:t>
      </w:r>
    </w:p>
    <w:p w:rsidR="00976B86" w:rsidRPr="00025F36" w:rsidRDefault="00976B86" w:rsidP="00366BCF">
      <w:pPr>
        <w:spacing w:after="0" w:line="360" w:lineRule="auto"/>
        <w:jc w:val="both"/>
        <w:outlineLvl w:val="0"/>
        <w:rPr>
          <w:rFonts w:ascii="Arial" w:hAnsi="Arial" w:cs="Arial"/>
          <w:b/>
        </w:rPr>
      </w:pPr>
    </w:p>
    <w:p w:rsidR="00976B86" w:rsidRPr="00025F36" w:rsidRDefault="00976B86" w:rsidP="00366BCF">
      <w:pPr>
        <w:pStyle w:val="ListParagraph"/>
        <w:numPr>
          <w:ilvl w:val="0"/>
          <w:numId w:val="27"/>
        </w:numPr>
        <w:spacing w:after="0" w:line="360" w:lineRule="auto"/>
        <w:ind w:left="709" w:hanging="709"/>
        <w:rPr>
          <w:rFonts w:ascii="Arial" w:hAnsi="Arial" w:cs="Arial"/>
        </w:rPr>
      </w:pPr>
      <w:r w:rsidRPr="00025F36">
        <w:rPr>
          <w:rFonts w:ascii="Arial" w:hAnsi="Arial" w:cs="Arial"/>
        </w:rPr>
        <w:t>(a)The Universities do not consider these subjects as requirements for entrance into engineering courses at a university. This puts learners at a disadvantage if after three years of studying they change their minds and no longer want to become artisans but engineers, they are then not credited at HEIs.</w:t>
      </w:r>
    </w:p>
    <w:p w:rsidR="00976B86" w:rsidRPr="00025F36" w:rsidRDefault="00976B86" w:rsidP="00366BCF">
      <w:pPr>
        <w:spacing w:after="0" w:line="360" w:lineRule="auto"/>
        <w:rPr>
          <w:rFonts w:ascii="Arial" w:hAnsi="Arial" w:cs="Arial"/>
        </w:rPr>
      </w:pPr>
    </w:p>
    <w:p w:rsidR="00976B86" w:rsidRPr="00025F36" w:rsidRDefault="00976B86" w:rsidP="00366BCF">
      <w:pPr>
        <w:spacing w:after="0" w:line="360" w:lineRule="auto"/>
        <w:ind w:left="709"/>
        <w:jc w:val="both"/>
        <w:outlineLvl w:val="0"/>
        <w:rPr>
          <w:rFonts w:ascii="Arial" w:hAnsi="Arial" w:cs="Arial"/>
        </w:rPr>
      </w:pPr>
      <w:r w:rsidRPr="00025F36">
        <w:rPr>
          <w:rFonts w:ascii="Arial" w:hAnsi="Arial" w:cs="Arial"/>
        </w:rPr>
        <w:t xml:space="preserve">(b)Based on the targets set by the National Development Plan (NDP), the Department is committed to contributing to the production of 30,000 artisans per year by 2030 (NDP, Chapter 9, p277), through the strengthening and refocusing of technical schools and increasing the learner enrolments from 27,000 to 57,000 in 2030. The revision of the curriculum and the recapitalisation process at technical schools will also ensure that the industry requirements in terms of technical specialisation are met and thereby increase participation in the technical education sector. </w:t>
      </w:r>
    </w:p>
    <w:p w:rsidR="00976B86" w:rsidRPr="00025F36" w:rsidRDefault="00976B86" w:rsidP="00366BCF">
      <w:pPr>
        <w:spacing w:after="0" w:line="360" w:lineRule="auto"/>
        <w:jc w:val="both"/>
        <w:rPr>
          <w:rFonts w:ascii="Arial" w:hAnsi="Arial" w:cs="Arial"/>
        </w:rPr>
      </w:pPr>
    </w:p>
    <w:p w:rsidR="00976B86" w:rsidRPr="00025F36" w:rsidRDefault="00976B86" w:rsidP="00366BCF">
      <w:pPr>
        <w:spacing w:after="0" w:line="360" w:lineRule="auto"/>
        <w:ind w:left="709"/>
        <w:jc w:val="both"/>
        <w:rPr>
          <w:rFonts w:ascii="Arial" w:hAnsi="Arial" w:cs="Arial"/>
        </w:rPr>
      </w:pPr>
      <w:r w:rsidRPr="00025F36">
        <w:rPr>
          <w:rFonts w:ascii="Arial" w:hAnsi="Arial" w:cs="Arial"/>
        </w:rPr>
        <w:t>In order to further strengthen articulation between GET and FET Technology, Senior Phase Subject Advisors and Teachers will be part of the training for specialisations scheduled for June and October 2015 as mentioned above. Advocacy on the Decade of the Artisan in partnership with Department of Higher Education (DHET) is currently being rolled out in all provinces with the intention to increase participation in artisanship and engineering.</w:t>
      </w:r>
    </w:p>
    <w:p w:rsidR="00976B86" w:rsidRPr="00025F36" w:rsidRDefault="00976B86" w:rsidP="00366BCF">
      <w:pPr>
        <w:spacing w:after="0" w:line="360" w:lineRule="auto"/>
        <w:ind w:left="709"/>
        <w:jc w:val="both"/>
        <w:rPr>
          <w:rFonts w:ascii="Arial" w:hAnsi="Arial" w:cs="Arial"/>
        </w:rPr>
      </w:pPr>
    </w:p>
    <w:p w:rsidR="00976B86" w:rsidRPr="00025F36" w:rsidRDefault="00976B86" w:rsidP="00366BCF">
      <w:pPr>
        <w:spacing w:after="0" w:line="360" w:lineRule="auto"/>
        <w:ind w:left="709"/>
        <w:jc w:val="both"/>
        <w:outlineLvl w:val="0"/>
        <w:rPr>
          <w:rFonts w:ascii="Arial" w:hAnsi="Arial" w:cs="Arial"/>
        </w:rPr>
      </w:pPr>
      <w:r w:rsidRPr="00025F36">
        <w:rPr>
          <w:rFonts w:ascii="Arial" w:hAnsi="Arial" w:cs="Arial"/>
        </w:rPr>
        <w:t>The Department and DHET have embarked on a process of aligning the curriculum for basic education with that of Technical Vocational Education and Training (TVET) Colleges.</w:t>
      </w:r>
    </w:p>
    <w:p w:rsidR="00976B86" w:rsidRPr="00025F36" w:rsidRDefault="00976B86" w:rsidP="00366BCF">
      <w:pPr>
        <w:spacing w:after="0" w:line="360" w:lineRule="auto"/>
        <w:jc w:val="both"/>
        <w:outlineLvl w:val="0"/>
        <w:rPr>
          <w:rFonts w:ascii="Arial" w:hAnsi="Arial" w:cs="Arial"/>
          <w:b/>
        </w:rPr>
      </w:pPr>
    </w:p>
    <w:p w:rsidR="00976B86" w:rsidRPr="00025F36" w:rsidRDefault="00976B86" w:rsidP="00366BCF">
      <w:pPr>
        <w:spacing w:after="0" w:line="360" w:lineRule="auto"/>
        <w:ind w:left="709"/>
        <w:jc w:val="both"/>
        <w:outlineLvl w:val="0"/>
        <w:rPr>
          <w:rFonts w:ascii="Arial" w:hAnsi="Arial" w:cs="Arial"/>
        </w:rPr>
      </w:pPr>
      <w:r w:rsidRPr="00025F36">
        <w:rPr>
          <w:rFonts w:ascii="Arial" w:hAnsi="Arial" w:cs="Arial"/>
        </w:rPr>
        <w:lastRenderedPageBreak/>
        <w:t>(c) The enrolment of learners in the technical fields has been declining since 2008 due to the changes in the National Curriculum Statement (NCS). The revision of the Nated 500 to remove areas of specialisation resulted in the overload of subject content areas and the decline in learner enrolment. The reintroduction of the specialisation by the revised Curriculum and Assessment Policy Statement (CAPS) for technical schools and the implementation of the recapitalisation programme will ensure that sector is expanded.</w:t>
      </w:r>
    </w:p>
    <w:p w:rsidR="00976B86" w:rsidRPr="00025F36" w:rsidRDefault="00976B86" w:rsidP="00366BCF">
      <w:pPr>
        <w:spacing w:after="0" w:line="360" w:lineRule="auto"/>
        <w:jc w:val="both"/>
        <w:outlineLvl w:val="0"/>
        <w:rPr>
          <w:rFonts w:ascii="Arial" w:hAnsi="Arial" w:cs="Arial"/>
        </w:rPr>
      </w:pPr>
    </w:p>
    <w:p w:rsidR="00976B86" w:rsidRPr="00025F36" w:rsidRDefault="00976B86" w:rsidP="00366BCF">
      <w:pPr>
        <w:autoSpaceDE w:val="0"/>
        <w:autoSpaceDN w:val="0"/>
        <w:spacing w:after="0" w:line="360" w:lineRule="auto"/>
        <w:jc w:val="both"/>
        <w:rPr>
          <w:rFonts w:ascii="Arial" w:hAnsi="Arial" w:cs="Arial"/>
          <w:color w:val="000000"/>
        </w:rPr>
      </w:pPr>
      <w:r w:rsidRPr="00025F36">
        <w:rPr>
          <w:rFonts w:ascii="Arial" w:hAnsi="Arial" w:cs="Arial"/>
          <w:color w:val="000000"/>
        </w:rPr>
        <w:t>The following targets for the increase in learner enrolment have been set for 2014-2019:</w:t>
      </w:r>
    </w:p>
    <w:tbl>
      <w:tblPr>
        <w:tblW w:w="8667" w:type="dxa"/>
        <w:tblInd w:w="93" w:type="dxa"/>
        <w:tblCellMar>
          <w:left w:w="0" w:type="dxa"/>
          <w:right w:w="0" w:type="dxa"/>
        </w:tblCellMar>
        <w:tblLook w:val="00A0"/>
      </w:tblPr>
      <w:tblGrid>
        <w:gridCol w:w="963"/>
        <w:gridCol w:w="963"/>
        <w:gridCol w:w="1002"/>
        <w:gridCol w:w="1002"/>
        <w:gridCol w:w="1002"/>
        <w:gridCol w:w="963"/>
        <w:gridCol w:w="963"/>
        <w:gridCol w:w="963"/>
        <w:gridCol w:w="963"/>
      </w:tblGrid>
      <w:tr w:rsidR="00976B86" w:rsidRPr="005D6154" w:rsidTr="004810C9">
        <w:trPr>
          <w:cantSplit/>
          <w:trHeight w:val="1627"/>
        </w:trPr>
        <w:tc>
          <w:tcPr>
            <w:tcW w:w="9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bCs/>
                <w:color w:val="000000"/>
                <w:szCs w:val="20"/>
              </w:rPr>
            </w:pPr>
            <w:r w:rsidRPr="005D6154">
              <w:rPr>
                <w:rFonts w:ascii="Arial" w:hAnsi="Arial" w:cs="Arial"/>
                <w:b/>
                <w:bCs/>
                <w:color w:val="000000"/>
                <w:szCs w:val="20"/>
              </w:rPr>
              <w:t>Targets</w:t>
            </w:r>
          </w:p>
        </w:tc>
        <w:tc>
          <w:tcPr>
            <w:tcW w:w="96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color w:val="000000"/>
                <w:szCs w:val="20"/>
              </w:rPr>
            </w:pPr>
            <w:r w:rsidRPr="005D6154">
              <w:rPr>
                <w:rFonts w:ascii="Arial" w:hAnsi="Arial" w:cs="Arial"/>
                <w:b/>
                <w:bCs/>
                <w:color w:val="000000"/>
                <w:szCs w:val="20"/>
              </w:rPr>
              <w:t>Mechanical Technology</w:t>
            </w:r>
          </w:p>
        </w:tc>
        <w:tc>
          <w:tcPr>
            <w:tcW w:w="96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bCs/>
                <w:color w:val="000000"/>
                <w:szCs w:val="20"/>
              </w:rPr>
            </w:pPr>
            <w:r w:rsidRPr="005D6154">
              <w:rPr>
                <w:rFonts w:ascii="Arial" w:hAnsi="Arial" w:cs="Arial"/>
                <w:b/>
                <w:bCs/>
                <w:color w:val="000000"/>
                <w:szCs w:val="20"/>
              </w:rPr>
              <w:t>Electrical</w:t>
            </w:r>
          </w:p>
          <w:p w:rsidR="00976B86" w:rsidRPr="00025F36" w:rsidRDefault="00976B86" w:rsidP="004810C9">
            <w:pPr>
              <w:spacing w:after="0" w:line="360" w:lineRule="auto"/>
              <w:ind w:left="113" w:right="113"/>
              <w:jc w:val="center"/>
              <w:rPr>
                <w:rFonts w:ascii="Arial" w:hAnsi="Arial" w:cs="Arial"/>
                <w:b/>
                <w:color w:val="000000"/>
                <w:szCs w:val="20"/>
              </w:rPr>
            </w:pPr>
            <w:r w:rsidRPr="005D6154">
              <w:rPr>
                <w:rFonts w:ascii="Arial" w:hAnsi="Arial" w:cs="Arial"/>
                <w:b/>
                <w:bCs/>
                <w:color w:val="000000"/>
                <w:szCs w:val="20"/>
              </w:rPr>
              <w:t>Technology</w:t>
            </w:r>
          </w:p>
        </w:tc>
        <w:tc>
          <w:tcPr>
            <w:tcW w:w="96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bCs/>
                <w:color w:val="000000"/>
                <w:szCs w:val="20"/>
              </w:rPr>
            </w:pPr>
            <w:r w:rsidRPr="005D6154">
              <w:rPr>
                <w:rFonts w:ascii="Arial" w:hAnsi="Arial" w:cs="Arial"/>
                <w:b/>
                <w:bCs/>
                <w:color w:val="000000"/>
                <w:szCs w:val="20"/>
              </w:rPr>
              <w:t>Engineering</w:t>
            </w:r>
          </w:p>
          <w:p w:rsidR="00976B86" w:rsidRPr="00025F36" w:rsidRDefault="00976B86" w:rsidP="004810C9">
            <w:pPr>
              <w:spacing w:after="0" w:line="360" w:lineRule="auto"/>
              <w:ind w:left="113" w:right="113"/>
              <w:jc w:val="center"/>
              <w:rPr>
                <w:rFonts w:ascii="Arial" w:hAnsi="Arial" w:cs="Arial"/>
                <w:b/>
                <w:color w:val="000000"/>
                <w:szCs w:val="20"/>
              </w:rPr>
            </w:pPr>
            <w:r w:rsidRPr="005D6154">
              <w:rPr>
                <w:rFonts w:ascii="Arial" w:hAnsi="Arial" w:cs="Arial"/>
                <w:b/>
                <w:bCs/>
                <w:color w:val="000000"/>
                <w:szCs w:val="20"/>
              </w:rPr>
              <w:t>Graphics &amp;Design</w:t>
            </w:r>
          </w:p>
        </w:tc>
        <w:tc>
          <w:tcPr>
            <w:tcW w:w="96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bCs/>
                <w:color w:val="000000"/>
                <w:szCs w:val="20"/>
              </w:rPr>
            </w:pPr>
            <w:r w:rsidRPr="005D6154">
              <w:rPr>
                <w:rFonts w:ascii="Arial" w:hAnsi="Arial" w:cs="Arial"/>
                <w:b/>
                <w:bCs/>
                <w:color w:val="000000"/>
                <w:szCs w:val="20"/>
              </w:rPr>
              <w:t>Computer</w:t>
            </w:r>
          </w:p>
          <w:p w:rsidR="00976B86" w:rsidRPr="00025F36" w:rsidRDefault="00976B86" w:rsidP="004810C9">
            <w:pPr>
              <w:spacing w:after="0" w:line="360" w:lineRule="auto"/>
              <w:ind w:left="113" w:right="113"/>
              <w:jc w:val="center"/>
              <w:rPr>
                <w:rFonts w:ascii="Arial" w:hAnsi="Arial" w:cs="Arial"/>
                <w:b/>
                <w:color w:val="000000"/>
                <w:szCs w:val="20"/>
              </w:rPr>
            </w:pPr>
            <w:r w:rsidRPr="005D6154">
              <w:rPr>
                <w:rFonts w:ascii="Arial" w:hAnsi="Arial" w:cs="Arial"/>
                <w:b/>
                <w:bCs/>
                <w:color w:val="000000"/>
                <w:szCs w:val="20"/>
              </w:rPr>
              <w:t>Technology</w:t>
            </w:r>
          </w:p>
        </w:tc>
        <w:tc>
          <w:tcPr>
            <w:tcW w:w="96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color w:val="000000"/>
                <w:szCs w:val="20"/>
              </w:rPr>
            </w:pPr>
            <w:r w:rsidRPr="005D6154">
              <w:rPr>
                <w:rFonts w:ascii="Arial" w:hAnsi="Arial" w:cs="Arial"/>
                <w:b/>
                <w:bCs/>
                <w:color w:val="000000"/>
                <w:szCs w:val="20"/>
              </w:rPr>
              <w:t>Technical Maths</w:t>
            </w:r>
          </w:p>
        </w:tc>
        <w:tc>
          <w:tcPr>
            <w:tcW w:w="96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color w:val="000000"/>
                <w:szCs w:val="20"/>
              </w:rPr>
            </w:pPr>
            <w:r w:rsidRPr="005D6154">
              <w:rPr>
                <w:rFonts w:ascii="Arial" w:hAnsi="Arial" w:cs="Arial"/>
                <w:b/>
                <w:bCs/>
                <w:color w:val="000000"/>
                <w:szCs w:val="20"/>
              </w:rPr>
              <w:t>Technical Science</w:t>
            </w:r>
          </w:p>
        </w:tc>
        <w:tc>
          <w:tcPr>
            <w:tcW w:w="96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color w:val="000000"/>
                <w:szCs w:val="20"/>
              </w:rPr>
            </w:pPr>
            <w:r w:rsidRPr="005D6154">
              <w:rPr>
                <w:rFonts w:ascii="Arial" w:hAnsi="Arial" w:cs="Arial"/>
                <w:b/>
                <w:bCs/>
                <w:color w:val="000000"/>
                <w:szCs w:val="20"/>
              </w:rPr>
              <w:t>Maths</w:t>
            </w:r>
          </w:p>
        </w:tc>
        <w:tc>
          <w:tcPr>
            <w:tcW w:w="96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ind w:left="113" w:right="113"/>
              <w:jc w:val="center"/>
              <w:rPr>
                <w:rFonts w:ascii="Arial" w:hAnsi="Arial" w:cs="Arial"/>
                <w:b/>
                <w:color w:val="000000"/>
                <w:szCs w:val="20"/>
              </w:rPr>
            </w:pPr>
            <w:r w:rsidRPr="005D6154">
              <w:rPr>
                <w:rFonts w:ascii="Arial" w:hAnsi="Arial" w:cs="Arial"/>
                <w:b/>
                <w:bCs/>
                <w:color w:val="000000"/>
                <w:szCs w:val="20"/>
              </w:rPr>
              <w:t>Physical Science</w:t>
            </w:r>
          </w:p>
        </w:tc>
      </w:tr>
      <w:tr w:rsidR="00976B86" w:rsidRPr="005D6154" w:rsidTr="004810C9">
        <w:trPr>
          <w:trHeight w:val="332"/>
        </w:trPr>
        <w:tc>
          <w:tcPr>
            <w:tcW w:w="9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b/>
                <w:bCs/>
                <w:color w:val="000000"/>
                <w:sz w:val="20"/>
                <w:szCs w:val="20"/>
              </w:rPr>
              <w:t>2014</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6,410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5,278</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28,919</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9,527</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21,214</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21,214</w:t>
            </w:r>
          </w:p>
        </w:tc>
      </w:tr>
      <w:tr w:rsidR="00976B86" w:rsidRPr="005D6154" w:rsidTr="004810C9">
        <w:trPr>
          <w:trHeight w:val="332"/>
        </w:trPr>
        <w:tc>
          <w:tcPr>
            <w:tcW w:w="9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b/>
                <w:bCs/>
                <w:color w:val="000000"/>
                <w:sz w:val="20"/>
                <w:szCs w:val="20"/>
              </w:rPr>
              <w:t>2015</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6,602</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5,436</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30,943</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10,003</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22,275</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22,275</w:t>
            </w:r>
          </w:p>
        </w:tc>
      </w:tr>
      <w:tr w:rsidR="00976B86" w:rsidRPr="005D6154" w:rsidTr="004810C9">
        <w:trPr>
          <w:trHeight w:val="332"/>
        </w:trPr>
        <w:tc>
          <w:tcPr>
            <w:tcW w:w="9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b/>
                <w:bCs/>
                <w:color w:val="000000"/>
                <w:sz w:val="20"/>
                <w:szCs w:val="20"/>
              </w:rPr>
              <w:t>2016</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6,800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5,599</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33,109</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10,503</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11,694</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11,694</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11,694</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11,694</w:t>
            </w:r>
          </w:p>
        </w:tc>
      </w:tr>
      <w:tr w:rsidR="00976B86" w:rsidRPr="005D6154" w:rsidTr="004810C9">
        <w:trPr>
          <w:trHeight w:val="332"/>
        </w:trPr>
        <w:tc>
          <w:tcPr>
            <w:tcW w:w="9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b/>
                <w:bCs/>
                <w:color w:val="000000"/>
                <w:sz w:val="20"/>
                <w:szCs w:val="20"/>
              </w:rPr>
              <w:t>2017</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7,004</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5,767</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35,427</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11,028</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12,279</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12,279</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12,279</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12,279</w:t>
            </w:r>
          </w:p>
        </w:tc>
      </w:tr>
      <w:tr w:rsidR="00976B86" w:rsidRPr="005D6154" w:rsidTr="004810C9">
        <w:trPr>
          <w:trHeight w:val="332"/>
        </w:trPr>
        <w:tc>
          <w:tcPr>
            <w:tcW w:w="9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b/>
                <w:bCs/>
                <w:color w:val="000000"/>
                <w:sz w:val="20"/>
                <w:szCs w:val="20"/>
              </w:rPr>
              <w:t>2018</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7,214</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5,940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37,907</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11,580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12,893</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12,893</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12,893</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12,893</w:t>
            </w:r>
          </w:p>
        </w:tc>
      </w:tr>
      <w:tr w:rsidR="00976B86" w:rsidRPr="005D6154" w:rsidTr="004810C9">
        <w:trPr>
          <w:trHeight w:val="332"/>
        </w:trPr>
        <w:tc>
          <w:tcPr>
            <w:tcW w:w="9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b/>
                <w:bCs/>
                <w:color w:val="000000"/>
                <w:sz w:val="20"/>
                <w:szCs w:val="20"/>
              </w:rPr>
              <w:t>2019</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7,431</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6,118</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40,560</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12,159</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13,538</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13,538</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13,538</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rPr>
            </w:pPr>
            <w:r w:rsidRPr="005D6154">
              <w:rPr>
                <w:rFonts w:ascii="Arial" w:hAnsi="Arial" w:cs="Arial"/>
                <w:color w:val="000000"/>
                <w:sz w:val="20"/>
                <w:szCs w:val="20"/>
              </w:rPr>
              <w:t>13,538</w:t>
            </w:r>
          </w:p>
        </w:tc>
      </w:tr>
    </w:tbl>
    <w:p w:rsidR="00976B86" w:rsidRPr="00025F36" w:rsidRDefault="00976B86" w:rsidP="00366BCF">
      <w:pPr>
        <w:spacing w:after="0" w:line="360" w:lineRule="auto"/>
        <w:rPr>
          <w:rFonts w:ascii="Arial" w:hAnsi="Arial" w:cs="Arial"/>
          <w:b/>
          <w:bCs/>
          <w:color w:val="000000"/>
        </w:rPr>
      </w:pPr>
      <w:r w:rsidRPr="00025F36">
        <w:rPr>
          <w:rFonts w:ascii="Arial" w:hAnsi="Arial" w:cs="Arial"/>
          <w:b/>
          <w:bCs/>
          <w:color w:val="000000"/>
        </w:rPr>
        <w:t>Targets: National Learner Enrolment in Technical Schools (2014 – 2019)</w:t>
      </w:r>
      <w:r w:rsidRPr="00025F36">
        <w:rPr>
          <w:rFonts w:ascii="Arial" w:hAnsi="Arial" w:cs="Arial"/>
          <w:b/>
          <w:bCs/>
          <w:color w:val="000000"/>
        </w:rPr>
        <w:br w:type="page"/>
      </w:r>
    </w:p>
    <w:p w:rsidR="00976B86" w:rsidRPr="00025F36" w:rsidRDefault="00976B86" w:rsidP="00366BCF">
      <w:pPr>
        <w:spacing w:after="0" w:line="360" w:lineRule="auto"/>
        <w:rPr>
          <w:rFonts w:ascii="Arial" w:hAnsi="Arial" w:cs="Arial"/>
          <w:b/>
          <w:bCs/>
          <w:color w:val="000000"/>
        </w:rPr>
      </w:pPr>
      <w:r w:rsidRPr="00025F36">
        <w:rPr>
          <w:rFonts w:ascii="Arial" w:hAnsi="Arial" w:cs="Arial"/>
          <w:b/>
          <w:bCs/>
          <w:color w:val="000000"/>
        </w:rPr>
        <w:t>Provincial Targets per Technology Subject:</w:t>
      </w:r>
    </w:p>
    <w:tbl>
      <w:tblPr>
        <w:tblW w:w="9289" w:type="dxa"/>
        <w:tblInd w:w="93" w:type="dxa"/>
        <w:tblCellMar>
          <w:left w:w="0" w:type="dxa"/>
          <w:right w:w="0" w:type="dxa"/>
        </w:tblCellMar>
        <w:tblLook w:val="00A0"/>
      </w:tblPr>
      <w:tblGrid>
        <w:gridCol w:w="1261"/>
        <w:gridCol w:w="867"/>
        <w:gridCol w:w="867"/>
        <w:gridCol w:w="1049"/>
        <w:gridCol w:w="1049"/>
        <w:gridCol w:w="1049"/>
        <w:gridCol w:w="1049"/>
        <w:gridCol w:w="1049"/>
        <w:gridCol w:w="1049"/>
      </w:tblGrid>
      <w:tr w:rsidR="00976B86" w:rsidRPr="005D6154" w:rsidTr="004810C9">
        <w:trPr>
          <w:trHeight w:val="321"/>
        </w:trPr>
        <w:tc>
          <w:tcPr>
            <w:tcW w:w="9289" w:type="dxa"/>
            <w:gridSpan w:val="9"/>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2015 Targets</w:t>
            </w:r>
          </w:p>
        </w:tc>
      </w:tr>
      <w:tr w:rsidR="00976B86" w:rsidRPr="005D6154" w:rsidTr="004810C9">
        <w:trPr>
          <w:trHeight w:val="872"/>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PROVINCE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MT</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EGD</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CT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Science</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Science</w:t>
            </w:r>
          </w:p>
        </w:tc>
      </w:tr>
      <w:tr w:rsidR="00976B86" w:rsidRPr="005D6154" w:rsidTr="004810C9">
        <w:trPr>
          <w:trHeight w:val="246"/>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EC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507</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418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2,377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768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1,711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1,711</w:t>
            </w:r>
          </w:p>
        </w:tc>
      </w:tr>
      <w:tr w:rsidR="00976B86" w:rsidRPr="005D6154" w:rsidTr="004810C9">
        <w:trPr>
          <w:trHeight w:val="13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FS</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582</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479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2,727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882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1,963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1,963</w:t>
            </w:r>
          </w:p>
        </w:tc>
      </w:tr>
      <w:tr w:rsidR="00976B86" w:rsidRPr="005D6154" w:rsidTr="004810C9">
        <w:trPr>
          <w:trHeight w:val="153"/>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GP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1,753</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1,443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8,214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2,655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5,913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5,913</w:t>
            </w:r>
          </w:p>
        </w:tc>
      </w:tr>
      <w:tr w:rsidR="00976B86" w:rsidRPr="005D6154" w:rsidTr="004810C9">
        <w:trPr>
          <w:trHeight w:val="18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KZN</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1,046</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861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4,901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1,584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3,528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3,528</w:t>
            </w:r>
          </w:p>
        </w:tc>
      </w:tr>
      <w:tr w:rsidR="00976B86" w:rsidRPr="005D6154" w:rsidTr="004810C9">
        <w:trPr>
          <w:trHeight w:val="7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LP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323</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266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1,512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489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1,088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1,088</w:t>
            </w:r>
          </w:p>
        </w:tc>
      </w:tr>
      <w:tr w:rsidR="00976B86" w:rsidRPr="005D6154" w:rsidTr="004810C9">
        <w:trPr>
          <w:trHeight w:val="108"/>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MP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360</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297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1,689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546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1,216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1,216</w:t>
            </w:r>
          </w:p>
        </w:tc>
      </w:tr>
      <w:tr w:rsidR="00976B86" w:rsidRPr="005D6154" w:rsidTr="004810C9">
        <w:trPr>
          <w:trHeight w:val="6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126</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591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191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425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425</w:t>
            </w:r>
          </w:p>
        </w:tc>
      </w:tr>
      <w:tr w:rsidR="00976B86" w:rsidRPr="005D6154" w:rsidTr="004810C9">
        <w:trPr>
          <w:trHeight w:val="6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NW</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539</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444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2,527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817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1,819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1,819</w:t>
            </w:r>
          </w:p>
        </w:tc>
      </w:tr>
      <w:tr w:rsidR="00976B86" w:rsidRPr="005D6154" w:rsidTr="004810C9">
        <w:trPr>
          <w:trHeight w:val="6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WC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1,367</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1,125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6,405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2,071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4,611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4,611</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b/>
                <w:bCs/>
                <w:color w:val="000000"/>
                <w:sz w:val="20"/>
                <w:szCs w:val="20"/>
                <w:lang w:eastAsia="en-GB"/>
              </w:rPr>
            </w:pPr>
            <w:r w:rsidRPr="005D6154">
              <w:rPr>
                <w:rFonts w:ascii="Arial" w:hAnsi="Arial" w:cs="Arial"/>
                <w:b/>
                <w:bCs/>
                <w:color w:val="000000"/>
                <w:sz w:val="20"/>
                <w:szCs w:val="20"/>
                <w:lang w:eastAsia="en-GB"/>
              </w:rPr>
              <w:t>TOTAL</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6,602</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5,436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30,943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10,003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b/>
                <w:bCs/>
                <w:color w:val="000000"/>
                <w:sz w:val="20"/>
                <w:szCs w:val="20"/>
                <w:lang w:eastAsia="en-GB"/>
              </w:rPr>
            </w:pPr>
            <w:r w:rsidRPr="005D6154">
              <w:rPr>
                <w:rFonts w:ascii="Arial" w:hAnsi="Arial" w:cs="Arial"/>
                <w:b/>
                <w:bCs/>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b/>
                <w:bCs/>
                <w:color w:val="000000"/>
                <w:sz w:val="20"/>
                <w:szCs w:val="20"/>
                <w:lang w:eastAsia="en-GB"/>
              </w:rPr>
            </w:pPr>
            <w:r w:rsidRPr="005D6154">
              <w:rPr>
                <w:rFonts w:ascii="Arial" w:hAnsi="Arial" w:cs="Arial"/>
                <w:b/>
                <w:bCs/>
                <w:color w:val="000000"/>
                <w:sz w:val="20"/>
                <w:szCs w:val="20"/>
                <w:lang w:eastAsia="en-GB"/>
              </w:rPr>
              <w:t> </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22,275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22,275</w:t>
            </w:r>
          </w:p>
        </w:tc>
      </w:tr>
      <w:tr w:rsidR="00976B86" w:rsidRPr="005D6154" w:rsidTr="004810C9">
        <w:trPr>
          <w:trHeight w:val="300"/>
        </w:trPr>
        <w:tc>
          <w:tcPr>
            <w:tcW w:w="9289" w:type="dxa"/>
            <w:gridSpan w:val="9"/>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2016 Targets</w:t>
            </w:r>
          </w:p>
        </w:tc>
      </w:tr>
      <w:tr w:rsidR="00976B86" w:rsidRPr="005D6154" w:rsidTr="004810C9">
        <w:trPr>
          <w:trHeight w:val="79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PROVINCE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MT</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EGD</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CT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Science</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5D6154"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Science</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EC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681</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560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3,314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1,051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1,170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1,170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1,170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1,170</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FS</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530</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2,581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819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912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912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912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912</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GP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1,808</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1,489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8,804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2,793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3,110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3,110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3,110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3,110</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KZN</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1,685</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1,387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8,202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2,602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2,897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2,897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2,897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2,897</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LP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558</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460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2,718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862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960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960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960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960</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MP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465</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383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2,266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719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800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800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800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800</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186</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153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904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287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319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319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319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319</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NW</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495</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408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2,410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764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851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851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851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851</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WC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392</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1,910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606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675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675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675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675</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b/>
                <w:bCs/>
                <w:color w:val="000000"/>
                <w:sz w:val="20"/>
                <w:szCs w:val="20"/>
                <w:lang w:eastAsia="en-GB"/>
              </w:rPr>
            </w:pPr>
            <w:r w:rsidRPr="005D6154">
              <w:rPr>
                <w:rFonts w:ascii="Arial" w:hAnsi="Arial" w:cs="Arial"/>
                <w:b/>
                <w:bCs/>
                <w:color w:val="000000"/>
                <w:sz w:val="20"/>
                <w:szCs w:val="20"/>
                <w:lang w:eastAsia="en-GB"/>
              </w:rPr>
              <w:t>TOTAL</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6,800</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5,599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33,109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10,503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11,694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11,694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11,694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11,694</w:t>
            </w:r>
          </w:p>
        </w:tc>
      </w:tr>
      <w:tr w:rsidR="00976B86" w:rsidRPr="005D6154" w:rsidTr="004810C9">
        <w:trPr>
          <w:trHeight w:val="300"/>
        </w:trPr>
        <w:tc>
          <w:tcPr>
            <w:tcW w:w="9289" w:type="dxa"/>
            <w:gridSpan w:val="9"/>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2017 Targets</w:t>
            </w:r>
          </w:p>
        </w:tc>
      </w:tr>
      <w:tr w:rsidR="00976B86" w:rsidRPr="005D6154" w:rsidTr="004810C9">
        <w:trPr>
          <w:trHeight w:val="888"/>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PROVINCE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MT</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EGD</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CT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Science</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Science</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EC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635</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523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3,211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999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1,113</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FS</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584</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481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2,955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920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1,024</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GP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2,063</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1,699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10,436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3,249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3,617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3,617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3,617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3,617</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KZN</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1,550</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1,276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7,841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2,441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2,718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2,718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2,718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2,718</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LP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306</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1,547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482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536</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lastRenderedPageBreak/>
              <w:t>MP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436</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359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2,205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687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764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764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764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764</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190</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157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963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300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334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334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334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334</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NW</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603</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497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3,052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950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1,058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1,058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1,058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1,058</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WC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636</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524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3,217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1,001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1,115</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b/>
                <w:bCs/>
                <w:color w:val="000000"/>
                <w:sz w:val="20"/>
                <w:szCs w:val="20"/>
                <w:lang w:eastAsia="en-GB"/>
              </w:rPr>
            </w:pPr>
            <w:r w:rsidRPr="005D6154">
              <w:rPr>
                <w:rFonts w:ascii="Arial" w:hAnsi="Arial" w:cs="Arial"/>
                <w:b/>
                <w:bCs/>
                <w:color w:val="000000"/>
                <w:sz w:val="20"/>
                <w:szCs w:val="20"/>
                <w:lang w:eastAsia="en-GB"/>
              </w:rPr>
              <w:t>TOTAL</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7,004</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5,767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35,427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11,028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12,279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12,279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12,279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12,279</w:t>
            </w:r>
          </w:p>
        </w:tc>
      </w:tr>
    </w:tbl>
    <w:p w:rsidR="00976B86" w:rsidRPr="00025F36" w:rsidRDefault="00976B86" w:rsidP="00366BCF">
      <w:pPr>
        <w:spacing w:line="360" w:lineRule="auto"/>
        <w:rPr>
          <w:rFonts w:ascii="Arial" w:hAnsi="Arial" w:cs="Arial"/>
          <w:color w:val="000000"/>
          <w:sz w:val="14"/>
          <w:szCs w:val="20"/>
        </w:rPr>
      </w:pPr>
    </w:p>
    <w:tbl>
      <w:tblPr>
        <w:tblW w:w="9289" w:type="dxa"/>
        <w:tblInd w:w="93" w:type="dxa"/>
        <w:tblCellMar>
          <w:left w:w="0" w:type="dxa"/>
          <w:right w:w="0" w:type="dxa"/>
        </w:tblCellMar>
        <w:tblLook w:val="00A0"/>
      </w:tblPr>
      <w:tblGrid>
        <w:gridCol w:w="1261"/>
        <w:gridCol w:w="867"/>
        <w:gridCol w:w="867"/>
        <w:gridCol w:w="1049"/>
        <w:gridCol w:w="1049"/>
        <w:gridCol w:w="1049"/>
        <w:gridCol w:w="1049"/>
        <w:gridCol w:w="1049"/>
        <w:gridCol w:w="1049"/>
      </w:tblGrid>
      <w:tr w:rsidR="00976B86" w:rsidRPr="005D6154" w:rsidTr="004810C9">
        <w:trPr>
          <w:trHeight w:val="300"/>
        </w:trPr>
        <w:tc>
          <w:tcPr>
            <w:tcW w:w="9289" w:type="dxa"/>
            <w:gridSpan w:val="9"/>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2018 Targets</w:t>
            </w:r>
          </w:p>
        </w:tc>
      </w:tr>
      <w:tr w:rsidR="00976B86" w:rsidRPr="005D6154" w:rsidTr="004810C9">
        <w:trPr>
          <w:trHeight w:val="812"/>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PROVINCE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MT</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EGD</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CT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Science</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Science</w:t>
            </w:r>
          </w:p>
        </w:tc>
      </w:tr>
      <w:tr w:rsidR="00976B86" w:rsidRPr="005D6154" w:rsidTr="004810C9">
        <w:trPr>
          <w:trHeight w:val="31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EC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574</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473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3,018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922</w:t>
            </w:r>
          </w:p>
        </w:tc>
        <w:tc>
          <w:tcPr>
            <w:tcW w:w="10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1,027</w:t>
            </w:r>
          </w:p>
        </w:tc>
        <w:tc>
          <w:tcPr>
            <w:tcW w:w="10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1,027</w:t>
            </w:r>
          </w:p>
        </w:tc>
        <w:tc>
          <w:tcPr>
            <w:tcW w:w="10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1,027</w:t>
            </w:r>
          </w:p>
        </w:tc>
        <w:tc>
          <w:tcPr>
            <w:tcW w:w="10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1,027</w:t>
            </w:r>
          </w:p>
        </w:tc>
      </w:tr>
      <w:tr w:rsidR="00976B86" w:rsidRPr="005D6154" w:rsidTr="004810C9">
        <w:trPr>
          <w:trHeight w:val="31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FS</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487</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401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2,560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782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871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871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871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871</w:t>
            </w:r>
          </w:p>
        </w:tc>
      </w:tr>
      <w:tr w:rsidR="00976B86" w:rsidRPr="005D6154" w:rsidTr="004810C9">
        <w:trPr>
          <w:trHeight w:val="31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GP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2,059</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1,695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10,818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3,305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3,679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3,679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3,679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3,679</w:t>
            </w:r>
          </w:p>
        </w:tc>
      </w:tr>
      <w:tr w:rsidR="00976B86" w:rsidRPr="005D6154" w:rsidTr="004810C9">
        <w:trPr>
          <w:trHeight w:val="31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KZN</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1,817</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1,496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9,545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2,916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3,247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3,247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3,247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3,247</w:t>
            </w:r>
          </w:p>
        </w:tc>
      </w:tr>
      <w:tr w:rsidR="00976B86" w:rsidRPr="005D6154" w:rsidTr="004810C9">
        <w:trPr>
          <w:trHeight w:val="31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LP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447</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2,347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717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798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798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798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798</w:t>
            </w:r>
          </w:p>
        </w:tc>
      </w:tr>
      <w:tr w:rsidR="00976B86" w:rsidRPr="005D6154" w:rsidTr="004810C9">
        <w:trPr>
          <w:trHeight w:val="31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MP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440</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362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2,312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706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786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786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786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786</w:t>
            </w:r>
          </w:p>
        </w:tc>
      </w:tr>
      <w:tr w:rsidR="00976B86" w:rsidRPr="005D6154" w:rsidTr="004810C9">
        <w:trPr>
          <w:trHeight w:val="31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135</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708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216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241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241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241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241</w:t>
            </w:r>
          </w:p>
        </w:tc>
      </w:tr>
      <w:tr w:rsidR="00976B86" w:rsidRPr="005D6154" w:rsidTr="004810C9">
        <w:trPr>
          <w:trHeight w:val="315"/>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NW</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499</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411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2,621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801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891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891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891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891</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WC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757</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623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3,978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1,215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1,353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1,353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1,353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1,353</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b/>
                <w:bCs/>
                <w:color w:val="000000"/>
                <w:sz w:val="20"/>
                <w:szCs w:val="20"/>
                <w:lang w:eastAsia="en-GB"/>
              </w:rPr>
            </w:pPr>
            <w:r w:rsidRPr="005D6154">
              <w:rPr>
                <w:rFonts w:ascii="Arial" w:hAnsi="Arial" w:cs="Arial"/>
                <w:b/>
                <w:bCs/>
                <w:color w:val="000000"/>
                <w:sz w:val="20"/>
                <w:szCs w:val="20"/>
                <w:lang w:eastAsia="en-GB"/>
              </w:rPr>
              <w:t>TOTAL</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7,214</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5,940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37,907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11,580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12,893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12,893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12,893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12,893</w:t>
            </w:r>
          </w:p>
        </w:tc>
      </w:tr>
      <w:tr w:rsidR="00976B86" w:rsidRPr="005D6154" w:rsidTr="004810C9">
        <w:trPr>
          <w:trHeight w:val="300"/>
        </w:trPr>
        <w:tc>
          <w:tcPr>
            <w:tcW w:w="9289" w:type="dxa"/>
            <w:gridSpan w:val="9"/>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2019 Targets</w:t>
            </w:r>
          </w:p>
        </w:tc>
      </w:tr>
      <w:tr w:rsidR="00976B86" w:rsidRPr="005D6154" w:rsidTr="004810C9">
        <w:trPr>
          <w:trHeight w:val="873"/>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PROVINCE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MT</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EGD</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CT</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Tech Science</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Maths</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rsidR="00976B86" w:rsidRPr="00025F36" w:rsidRDefault="00976B86" w:rsidP="004810C9">
            <w:pPr>
              <w:spacing w:after="0" w:line="360" w:lineRule="auto"/>
              <w:jc w:val="center"/>
              <w:rPr>
                <w:rFonts w:ascii="Arial" w:hAnsi="Arial" w:cs="Arial"/>
                <w:b/>
                <w:bCs/>
                <w:color w:val="000000"/>
                <w:sz w:val="20"/>
                <w:szCs w:val="20"/>
                <w:lang w:eastAsia="en-GB"/>
              </w:rPr>
            </w:pPr>
            <w:r w:rsidRPr="005D6154">
              <w:rPr>
                <w:rFonts w:ascii="Arial" w:hAnsi="Arial" w:cs="Arial"/>
                <w:b/>
                <w:bCs/>
                <w:color w:val="000000"/>
                <w:sz w:val="20"/>
                <w:szCs w:val="20"/>
                <w:lang w:eastAsia="en-GB"/>
              </w:rPr>
              <w:t>Science</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EC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592</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487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3,230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968</w:t>
            </w:r>
          </w:p>
        </w:tc>
        <w:tc>
          <w:tcPr>
            <w:tcW w:w="10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1,078</w:t>
            </w:r>
          </w:p>
        </w:tc>
        <w:tc>
          <w:tcPr>
            <w:tcW w:w="10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1,078</w:t>
            </w:r>
          </w:p>
        </w:tc>
        <w:tc>
          <w:tcPr>
            <w:tcW w:w="10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1,078</w:t>
            </w:r>
          </w:p>
        </w:tc>
        <w:tc>
          <w:tcPr>
            <w:tcW w:w="10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1,078</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FS</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502</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413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2,739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821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914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914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914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914</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GP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2,121</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1,746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11,575</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3,470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3,864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3,864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3,864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3,864</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KZN</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1,871</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1,541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10,213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3,062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3,409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3,409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3,409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3,409</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LP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460</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379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2,511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753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838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838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838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838</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MP</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453</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373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2,474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742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826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826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826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826</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139</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114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758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227</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253</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NW</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514</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423</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2,804</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841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936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936</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color w:val="000000"/>
                <w:sz w:val="20"/>
                <w:szCs w:val="20"/>
                <w:lang w:eastAsia="en-GB"/>
              </w:rPr>
            </w:pPr>
            <w:r w:rsidRPr="005D6154">
              <w:rPr>
                <w:rFonts w:ascii="Arial" w:hAnsi="Arial" w:cs="Arial"/>
                <w:color w:val="000000"/>
                <w:sz w:val="20"/>
                <w:szCs w:val="20"/>
                <w:lang w:eastAsia="en-GB"/>
              </w:rPr>
              <w:t>WC</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780</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642</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4,256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1,276</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1,421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1,421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1,421</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color w:val="000000"/>
                <w:sz w:val="20"/>
                <w:szCs w:val="20"/>
                <w:lang w:eastAsia="en-GB"/>
              </w:rPr>
            </w:pPr>
            <w:r w:rsidRPr="005D6154">
              <w:rPr>
                <w:rFonts w:ascii="Arial" w:hAnsi="Arial" w:cs="Arial"/>
                <w:color w:val="000000"/>
                <w:sz w:val="20"/>
                <w:szCs w:val="20"/>
                <w:lang w:eastAsia="en-GB"/>
              </w:rPr>
              <w:t>1,421</w:t>
            </w:r>
          </w:p>
        </w:tc>
      </w:tr>
      <w:tr w:rsidR="00976B86" w:rsidRPr="005D6154" w:rsidTr="004810C9">
        <w:trPr>
          <w:trHeight w:val="300"/>
        </w:trPr>
        <w:tc>
          <w:tcPr>
            <w:tcW w:w="1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rPr>
                <w:rFonts w:ascii="Arial" w:hAnsi="Arial" w:cs="Arial"/>
                <w:b/>
                <w:bCs/>
                <w:color w:val="000000"/>
                <w:sz w:val="20"/>
                <w:szCs w:val="20"/>
                <w:lang w:eastAsia="en-GB"/>
              </w:rPr>
            </w:pPr>
            <w:r w:rsidRPr="005D6154">
              <w:rPr>
                <w:rFonts w:ascii="Arial" w:hAnsi="Arial" w:cs="Arial"/>
                <w:b/>
                <w:bCs/>
                <w:color w:val="000000"/>
                <w:sz w:val="20"/>
                <w:szCs w:val="20"/>
                <w:lang w:eastAsia="en-GB"/>
              </w:rPr>
              <w:t>TOTAL</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7,431</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6,118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40,560</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12,159</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13,538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13,538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13,538</w:t>
            </w:r>
          </w:p>
        </w:tc>
        <w:tc>
          <w:tcPr>
            <w:tcW w:w="10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76B86" w:rsidRPr="00025F36" w:rsidRDefault="00976B86" w:rsidP="004810C9">
            <w:pPr>
              <w:spacing w:after="0" w:line="360" w:lineRule="auto"/>
              <w:jc w:val="right"/>
              <w:rPr>
                <w:rFonts w:ascii="Arial" w:hAnsi="Arial" w:cs="Arial"/>
                <w:b/>
                <w:bCs/>
                <w:color w:val="000000"/>
                <w:sz w:val="20"/>
                <w:szCs w:val="20"/>
                <w:lang w:eastAsia="en-GB"/>
              </w:rPr>
            </w:pPr>
            <w:r w:rsidRPr="005D6154">
              <w:rPr>
                <w:rFonts w:ascii="Arial" w:hAnsi="Arial" w:cs="Arial"/>
                <w:b/>
                <w:bCs/>
                <w:color w:val="000000"/>
                <w:sz w:val="20"/>
                <w:szCs w:val="20"/>
                <w:lang w:eastAsia="en-GB"/>
              </w:rPr>
              <w:t>13,538</w:t>
            </w:r>
          </w:p>
        </w:tc>
      </w:tr>
    </w:tbl>
    <w:p w:rsidR="00976B86" w:rsidRPr="00025F36" w:rsidRDefault="00976B86" w:rsidP="00366BCF">
      <w:pPr>
        <w:spacing w:after="0" w:line="360" w:lineRule="auto"/>
        <w:jc w:val="both"/>
        <w:outlineLvl w:val="0"/>
        <w:rPr>
          <w:rFonts w:ascii="Arial" w:hAnsi="Arial" w:cs="Arial"/>
          <w:b/>
        </w:rPr>
      </w:pPr>
    </w:p>
    <w:p w:rsidR="00976B86" w:rsidRPr="00025F36" w:rsidRDefault="00976B86" w:rsidP="00366BCF">
      <w:pPr>
        <w:tabs>
          <w:tab w:val="left" w:pos="1985"/>
        </w:tabs>
        <w:spacing w:after="0" w:line="360" w:lineRule="auto"/>
        <w:ind w:left="709"/>
        <w:jc w:val="both"/>
        <w:rPr>
          <w:rFonts w:ascii="Arial" w:hAnsi="Arial" w:cs="Arial"/>
        </w:rPr>
      </w:pPr>
      <w:r w:rsidRPr="00025F36">
        <w:rPr>
          <w:rFonts w:ascii="Arial" w:hAnsi="Arial" w:cs="Arial"/>
        </w:rPr>
        <w:t>(d) (i) Negotiations between the Department and Higher Education South Africa (HESA) and Umalusi are in progress for considering the designation of these technology subjects</w:t>
      </w:r>
    </w:p>
    <w:p w:rsidR="00976B86" w:rsidRPr="00025F36" w:rsidRDefault="00976B86" w:rsidP="00366BCF">
      <w:pPr>
        <w:tabs>
          <w:tab w:val="left" w:pos="1985"/>
        </w:tabs>
        <w:spacing w:after="0" w:line="360" w:lineRule="auto"/>
        <w:jc w:val="both"/>
        <w:rPr>
          <w:rFonts w:ascii="Arial" w:hAnsi="Arial" w:cs="Arial"/>
          <w:b/>
        </w:rPr>
      </w:pPr>
    </w:p>
    <w:p w:rsidR="00976B86" w:rsidRPr="00025F36" w:rsidRDefault="00976B86" w:rsidP="00366BCF">
      <w:pPr>
        <w:tabs>
          <w:tab w:val="left" w:pos="1985"/>
        </w:tabs>
        <w:spacing w:after="0" w:line="360" w:lineRule="auto"/>
        <w:ind w:left="709"/>
        <w:jc w:val="both"/>
        <w:rPr>
          <w:rFonts w:ascii="Arial" w:hAnsi="Arial" w:cs="Arial"/>
        </w:rPr>
      </w:pPr>
      <w:r w:rsidRPr="00025F36">
        <w:rPr>
          <w:rFonts w:ascii="Arial" w:hAnsi="Arial" w:cs="Arial"/>
        </w:rPr>
        <w:lastRenderedPageBreak/>
        <w:t>(d)(ii)The non-designation is the only challenge that the Minister foresees.</w:t>
      </w:r>
      <w:bookmarkStart w:id="0" w:name="_GoBack"/>
      <w:bookmarkEnd w:id="0"/>
    </w:p>
    <w:sectPr w:rsidR="00976B86" w:rsidRPr="00025F36" w:rsidSect="009113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137"/>
    <w:multiLevelType w:val="hybridMultilevel"/>
    <w:tmpl w:val="641A90EC"/>
    <w:lvl w:ilvl="0" w:tplc="9124BC46">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A0C1521"/>
    <w:multiLevelType w:val="hybridMultilevel"/>
    <w:tmpl w:val="E6B8D33C"/>
    <w:lvl w:ilvl="0" w:tplc="2C30BAA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0C5E3322"/>
    <w:multiLevelType w:val="hybridMultilevel"/>
    <w:tmpl w:val="BCB4B71A"/>
    <w:lvl w:ilvl="0" w:tplc="155CD374">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12A6160F"/>
    <w:multiLevelType w:val="hybridMultilevel"/>
    <w:tmpl w:val="218C7036"/>
    <w:lvl w:ilvl="0" w:tplc="5C14C41C">
      <w:start w:val="4"/>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4066C48"/>
    <w:multiLevelType w:val="hybridMultilevel"/>
    <w:tmpl w:val="B4220836"/>
    <w:lvl w:ilvl="0" w:tplc="D3EA535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6D76D80"/>
    <w:multiLevelType w:val="hybridMultilevel"/>
    <w:tmpl w:val="7D8E4D86"/>
    <w:lvl w:ilvl="0" w:tplc="4F4A21D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77696C"/>
    <w:multiLevelType w:val="hybridMultilevel"/>
    <w:tmpl w:val="305823D4"/>
    <w:lvl w:ilvl="0" w:tplc="1C090011">
      <w:start w:val="1"/>
      <w:numFmt w:val="decimal"/>
      <w:lvlText w:val="%1)"/>
      <w:lvlJc w:val="left"/>
      <w:pPr>
        <w:ind w:left="750" w:hanging="360"/>
      </w:pPr>
      <w:rPr>
        <w:rFonts w:cs="Times New Roman"/>
      </w:rPr>
    </w:lvl>
    <w:lvl w:ilvl="1" w:tplc="1C090019" w:tentative="1">
      <w:start w:val="1"/>
      <w:numFmt w:val="lowerLetter"/>
      <w:lvlText w:val="%2."/>
      <w:lvlJc w:val="left"/>
      <w:pPr>
        <w:ind w:left="1470" w:hanging="360"/>
      </w:pPr>
      <w:rPr>
        <w:rFonts w:cs="Times New Roman"/>
      </w:rPr>
    </w:lvl>
    <w:lvl w:ilvl="2" w:tplc="1C09001B" w:tentative="1">
      <w:start w:val="1"/>
      <w:numFmt w:val="lowerRoman"/>
      <w:lvlText w:val="%3."/>
      <w:lvlJc w:val="right"/>
      <w:pPr>
        <w:ind w:left="2190" w:hanging="180"/>
      </w:pPr>
      <w:rPr>
        <w:rFonts w:cs="Times New Roman"/>
      </w:rPr>
    </w:lvl>
    <w:lvl w:ilvl="3" w:tplc="1C09000F" w:tentative="1">
      <w:start w:val="1"/>
      <w:numFmt w:val="decimal"/>
      <w:lvlText w:val="%4."/>
      <w:lvlJc w:val="left"/>
      <w:pPr>
        <w:ind w:left="2910" w:hanging="360"/>
      </w:pPr>
      <w:rPr>
        <w:rFonts w:cs="Times New Roman"/>
      </w:rPr>
    </w:lvl>
    <w:lvl w:ilvl="4" w:tplc="1C090019" w:tentative="1">
      <w:start w:val="1"/>
      <w:numFmt w:val="lowerLetter"/>
      <w:lvlText w:val="%5."/>
      <w:lvlJc w:val="left"/>
      <w:pPr>
        <w:ind w:left="3630" w:hanging="360"/>
      </w:pPr>
      <w:rPr>
        <w:rFonts w:cs="Times New Roman"/>
      </w:rPr>
    </w:lvl>
    <w:lvl w:ilvl="5" w:tplc="1C09001B" w:tentative="1">
      <w:start w:val="1"/>
      <w:numFmt w:val="lowerRoman"/>
      <w:lvlText w:val="%6."/>
      <w:lvlJc w:val="right"/>
      <w:pPr>
        <w:ind w:left="4350" w:hanging="180"/>
      </w:pPr>
      <w:rPr>
        <w:rFonts w:cs="Times New Roman"/>
      </w:rPr>
    </w:lvl>
    <w:lvl w:ilvl="6" w:tplc="1C09000F" w:tentative="1">
      <w:start w:val="1"/>
      <w:numFmt w:val="decimal"/>
      <w:lvlText w:val="%7."/>
      <w:lvlJc w:val="left"/>
      <w:pPr>
        <w:ind w:left="5070" w:hanging="360"/>
      </w:pPr>
      <w:rPr>
        <w:rFonts w:cs="Times New Roman"/>
      </w:rPr>
    </w:lvl>
    <w:lvl w:ilvl="7" w:tplc="1C090019" w:tentative="1">
      <w:start w:val="1"/>
      <w:numFmt w:val="lowerLetter"/>
      <w:lvlText w:val="%8."/>
      <w:lvlJc w:val="left"/>
      <w:pPr>
        <w:ind w:left="5790" w:hanging="360"/>
      </w:pPr>
      <w:rPr>
        <w:rFonts w:cs="Times New Roman"/>
      </w:rPr>
    </w:lvl>
    <w:lvl w:ilvl="8" w:tplc="1C09001B" w:tentative="1">
      <w:start w:val="1"/>
      <w:numFmt w:val="lowerRoman"/>
      <w:lvlText w:val="%9."/>
      <w:lvlJc w:val="right"/>
      <w:pPr>
        <w:ind w:left="6510" w:hanging="180"/>
      </w:pPr>
      <w:rPr>
        <w:rFonts w:cs="Times New Roman"/>
      </w:rPr>
    </w:lvl>
  </w:abstractNum>
  <w:abstractNum w:abstractNumId="7">
    <w:nsid w:val="23AA595C"/>
    <w:multiLevelType w:val="hybridMultilevel"/>
    <w:tmpl w:val="204A1DC8"/>
    <w:lvl w:ilvl="0" w:tplc="7358687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8493C69"/>
    <w:multiLevelType w:val="hybridMultilevel"/>
    <w:tmpl w:val="72E43104"/>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D641F23"/>
    <w:multiLevelType w:val="hybridMultilevel"/>
    <w:tmpl w:val="5820401E"/>
    <w:lvl w:ilvl="0" w:tplc="56A8C85E">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2E116F4F"/>
    <w:multiLevelType w:val="hybridMultilevel"/>
    <w:tmpl w:val="055C05C8"/>
    <w:lvl w:ilvl="0" w:tplc="A9FCD78A">
      <w:start w:val="3"/>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C621C4"/>
    <w:multiLevelType w:val="hybridMultilevel"/>
    <w:tmpl w:val="4E20AF1A"/>
    <w:lvl w:ilvl="0" w:tplc="1C090001">
      <w:start w:val="1"/>
      <w:numFmt w:val="bullet"/>
      <w:lvlText w:val=""/>
      <w:lvlJc w:val="left"/>
      <w:pPr>
        <w:ind w:left="1530" w:hanging="360"/>
      </w:pPr>
      <w:rPr>
        <w:rFonts w:ascii="Symbol" w:hAnsi="Symbol" w:hint="default"/>
      </w:rPr>
    </w:lvl>
    <w:lvl w:ilvl="1" w:tplc="1C090003" w:tentative="1">
      <w:start w:val="1"/>
      <w:numFmt w:val="bullet"/>
      <w:lvlText w:val="o"/>
      <w:lvlJc w:val="left"/>
      <w:pPr>
        <w:ind w:left="2250" w:hanging="360"/>
      </w:pPr>
      <w:rPr>
        <w:rFonts w:ascii="Courier New" w:hAnsi="Courier New" w:hint="default"/>
      </w:rPr>
    </w:lvl>
    <w:lvl w:ilvl="2" w:tplc="1C090005" w:tentative="1">
      <w:start w:val="1"/>
      <w:numFmt w:val="bullet"/>
      <w:lvlText w:val=""/>
      <w:lvlJc w:val="left"/>
      <w:pPr>
        <w:ind w:left="2970" w:hanging="360"/>
      </w:pPr>
      <w:rPr>
        <w:rFonts w:ascii="Wingdings" w:hAnsi="Wingdings" w:hint="default"/>
      </w:rPr>
    </w:lvl>
    <w:lvl w:ilvl="3" w:tplc="1C090001" w:tentative="1">
      <w:start w:val="1"/>
      <w:numFmt w:val="bullet"/>
      <w:lvlText w:val=""/>
      <w:lvlJc w:val="left"/>
      <w:pPr>
        <w:ind w:left="3690" w:hanging="360"/>
      </w:pPr>
      <w:rPr>
        <w:rFonts w:ascii="Symbol" w:hAnsi="Symbol" w:hint="default"/>
      </w:rPr>
    </w:lvl>
    <w:lvl w:ilvl="4" w:tplc="1C090003" w:tentative="1">
      <w:start w:val="1"/>
      <w:numFmt w:val="bullet"/>
      <w:lvlText w:val="o"/>
      <w:lvlJc w:val="left"/>
      <w:pPr>
        <w:ind w:left="4410" w:hanging="360"/>
      </w:pPr>
      <w:rPr>
        <w:rFonts w:ascii="Courier New" w:hAnsi="Courier New" w:hint="default"/>
      </w:rPr>
    </w:lvl>
    <w:lvl w:ilvl="5" w:tplc="1C090005" w:tentative="1">
      <w:start w:val="1"/>
      <w:numFmt w:val="bullet"/>
      <w:lvlText w:val=""/>
      <w:lvlJc w:val="left"/>
      <w:pPr>
        <w:ind w:left="5130" w:hanging="360"/>
      </w:pPr>
      <w:rPr>
        <w:rFonts w:ascii="Wingdings" w:hAnsi="Wingdings" w:hint="default"/>
      </w:rPr>
    </w:lvl>
    <w:lvl w:ilvl="6" w:tplc="1C090001" w:tentative="1">
      <w:start w:val="1"/>
      <w:numFmt w:val="bullet"/>
      <w:lvlText w:val=""/>
      <w:lvlJc w:val="left"/>
      <w:pPr>
        <w:ind w:left="5850" w:hanging="360"/>
      </w:pPr>
      <w:rPr>
        <w:rFonts w:ascii="Symbol" w:hAnsi="Symbol" w:hint="default"/>
      </w:rPr>
    </w:lvl>
    <w:lvl w:ilvl="7" w:tplc="1C090003" w:tentative="1">
      <w:start w:val="1"/>
      <w:numFmt w:val="bullet"/>
      <w:lvlText w:val="o"/>
      <w:lvlJc w:val="left"/>
      <w:pPr>
        <w:ind w:left="6570" w:hanging="360"/>
      </w:pPr>
      <w:rPr>
        <w:rFonts w:ascii="Courier New" w:hAnsi="Courier New" w:hint="default"/>
      </w:rPr>
    </w:lvl>
    <w:lvl w:ilvl="8" w:tplc="1C090005" w:tentative="1">
      <w:start w:val="1"/>
      <w:numFmt w:val="bullet"/>
      <w:lvlText w:val=""/>
      <w:lvlJc w:val="left"/>
      <w:pPr>
        <w:ind w:left="7290" w:hanging="360"/>
      </w:pPr>
      <w:rPr>
        <w:rFonts w:ascii="Wingdings" w:hAnsi="Wingdings" w:hint="default"/>
      </w:rPr>
    </w:lvl>
  </w:abstractNum>
  <w:abstractNum w:abstractNumId="12">
    <w:nsid w:val="30444B55"/>
    <w:multiLevelType w:val="hybridMultilevel"/>
    <w:tmpl w:val="062C14D6"/>
    <w:lvl w:ilvl="0" w:tplc="26D2CE8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1473D97"/>
    <w:multiLevelType w:val="hybridMultilevel"/>
    <w:tmpl w:val="20BE90DC"/>
    <w:lvl w:ilvl="0" w:tplc="2C30BAA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40E262B3"/>
    <w:multiLevelType w:val="hybridMultilevel"/>
    <w:tmpl w:val="E696A4A8"/>
    <w:lvl w:ilvl="0" w:tplc="F3605B16">
      <w:start w:val="2"/>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2626F44"/>
    <w:multiLevelType w:val="hybridMultilevel"/>
    <w:tmpl w:val="39B64CDC"/>
    <w:lvl w:ilvl="0" w:tplc="E8D4B6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3DB7887"/>
    <w:multiLevelType w:val="hybridMultilevel"/>
    <w:tmpl w:val="63C6FFB4"/>
    <w:lvl w:ilvl="0" w:tplc="22CE7E60">
      <w:start w:val="2"/>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6F2025F"/>
    <w:multiLevelType w:val="hybridMultilevel"/>
    <w:tmpl w:val="4FCEEF6A"/>
    <w:lvl w:ilvl="0" w:tplc="F36403A0">
      <w:start w:val="4"/>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BB515BE"/>
    <w:multiLevelType w:val="hybridMultilevel"/>
    <w:tmpl w:val="ABCE7C3A"/>
    <w:lvl w:ilvl="0" w:tplc="D59C5E14">
      <w:start w:val="1"/>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D5C6537"/>
    <w:multiLevelType w:val="hybridMultilevel"/>
    <w:tmpl w:val="83A49B62"/>
    <w:lvl w:ilvl="0" w:tplc="6AA6F1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E1757FE"/>
    <w:multiLevelType w:val="hybridMultilevel"/>
    <w:tmpl w:val="C3AE5FD0"/>
    <w:lvl w:ilvl="0" w:tplc="2C30BAA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F644B74"/>
    <w:multiLevelType w:val="hybridMultilevel"/>
    <w:tmpl w:val="E86C102A"/>
    <w:lvl w:ilvl="0" w:tplc="2C30BAA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0FD20C7"/>
    <w:multiLevelType w:val="hybridMultilevel"/>
    <w:tmpl w:val="74CE9A9C"/>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6F2074C2"/>
    <w:multiLevelType w:val="hybridMultilevel"/>
    <w:tmpl w:val="A06E07A0"/>
    <w:lvl w:ilvl="0" w:tplc="39224702">
      <w:start w:val="1"/>
      <w:numFmt w:val="lowerLetter"/>
      <w:lvlText w:val="(%1)"/>
      <w:lvlJc w:val="left"/>
      <w:pPr>
        <w:ind w:left="360" w:hanging="360"/>
      </w:pPr>
      <w:rPr>
        <w:rFonts w:ascii="Arial" w:hAnsi="Arial" w:cs="Arial"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4">
    <w:nsid w:val="73473B03"/>
    <w:multiLevelType w:val="hybridMultilevel"/>
    <w:tmpl w:val="99C6A7D0"/>
    <w:lvl w:ilvl="0" w:tplc="2C30BAAA">
      <w:start w:val="1"/>
      <w:numFmt w:val="decimal"/>
      <w:lvlText w:val="(%1)"/>
      <w:lvlJc w:val="left"/>
      <w:pPr>
        <w:ind w:left="720" w:hanging="360"/>
      </w:pPr>
      <w:rPr>
        <w:rFonts w:cs="Times New Roman" w:hint="default"/>
      </w:rPr>
    </w:lvl>
    <w:lvl w:ilvl="1" w:tplc="897E47BE">
      <w:start w:val="1"/>
      <w:numFmt w:val="lowerLetter"/>
      <w:lvlText w:val="(%2)"/>
      <w:lvlJc w:val="left"/>
      <w:pPr>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7F70FB5"/>
    <w:multiLevelType w:val="hybridMultilevel"/>
    <w:tmpl w:val="B4825DE2"/>
    <w:lvl w:ilvl="0" w:tplc="FB9A028A">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7D1D08E6"/>
    <w:multiLevelType w:val="hybridMultilevel"/>
    <w:tmpl w:val="D3E6B6E4"/>
    <w:lvl w:ilvl="0" w:tplc="F55ECC5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5"/>
  </w:num>
  <w:num w:numId="4">
    <w:abstractNumId w:val="6"/>
  </w:num>
  <w:num w:numId="5">
    <w:abstractNumId w:val="22"/>
  </w:num>
  <w:num w:numId="6">
    <w:abstractNumId w:val="25"/>
  </w:num>
  <w:num w:numId="7">
    <w:abstractNumId w:val="1"/>
  </w:num>
  <w:num w:numId="8">
    <w:abstractNumId w:val="7"/>
  </w:num>
  <w:num w:numId="9">
    <w:abstractNumId w:val="23"/>
  </w:num>
  <w:num w:numId="10">
    <w:abstractNumId w:val="24"/>
  </w:num>
  <w:num w:numId="11">
    <w:abstractNumId w:val="14"/>
  </w:num>
  <w:num w:numId="12">
    <w:abstractNumId w:val="3"/>
  </w:num>
  <w:num w:numId="13">
    <w:abstractNumId w:val="0"/>
  </w:num>
  <w:num w:numId="14">
    <w:abstractNumId w:val="5"/>
  </w:num>
  <w:num w:numId="15">
    <w:abstractNumId w:val="2"/>
  </w:num>
  <w:num w:numId="16">
    <w:abstractNumId w:val="12"/>
  </w:num>
  <w:num w:numId="17">
    <w:abstractNumId w:val="26"/>
  </w:num>
  <w:num w:numId="18">
    <w:abstractNumId w:val="19"/>
  </w:num>
  <w:num w:numId="19">
    <w:abstractNumId w:val="9"/>
  </w:num>
  <w:num w:numId="20">
    <w:abstractNumId w:val="4"/>
  </w:num>
  <w:num w:numId="21">
    <w:abstractNumId w:val="18"/>
  </w:num>
  <w:num w:numId="22">
    <w:abstractNumId w:val="13"/>
  </w:num>
  <w:num w:numId="23">
    <w:abstractNumId w:val="16"/>
  </w:num>
  <w:num w:numId="24">
    <w:abstractNumId w:val="20"/>
  </w:num>
  <w:num w:numId="25">
    <w:abstractNumId w:val="10"/>
  </w:num>
  <w:num w:numId="26">
    <w:abstractNumId w:val="2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7B63"/>
    <w:rsid w:val="00025F36"/>
    <w:rsid w:val="00066E6A"/>
    <w:rsid w:val="001D3E78"/>
    <w:rsid w:val="00302A43"/>
    <w:rsid w:val="0035383A"/>
    <w:rsid w:val="00366BCF"/>
    <w:rsid w:val="00405587"/>
    <w:rsid w:val="004810C9"/>
    <w:rsid w:val="004E5AE1"/>
    <w:rsid w:val="005D6154"/>
    <w:rsid w:val="006D7B63"/>
    <w:rsid w:val="007A0888"/>
    <w:rsid w:val="007A4190"/>
    <w:rsid w:val="007D3015"/>
    <w:rsid w:val="00857A1D"/>
    <w:rsid w:val="008E3F1F"/>
    <w:rsid w:val="008E742B"/>
    <w:rsid w:val="0091133B"/>
    <w:rsid w:val="00920CFC"/>
    <w:rsid w:val="00976B86"/>
    <w:rsid w:val="009B6115"/>
    <w:rsid w:val="00A44823"/>
    <w:rsid w:val="00A666AB"/>
    <w:rsid w:val="00B6783D"/>
    <w:rsid w:val="00D34C31"/>
    <w:rsid w:val="00DC721F"/>
    <w:rsid w:val="00E67F6F"/>
    <w:rsid w:val="00EA2C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3B"/>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
    <w:basedOn w:val="Normal"/>
    <w:link w:val="ListParagraphChar"/>
    <w:uiPriority w:val="99"/>
    <w:qFormat/>
    <w:rsid w:val="00EA2CF9"/>
    <w:pPr>
      <w:ind w:left="720"/>
      <w:contextualSpacing/>
    </w:pPr>
    <w:rPr>
      <w:rFonts w:eastAsia="Times New Roman"/>
      <w:sz w:val="20"/>
      <w:szCs w:val="20"/>
      <w:lang w:val="en-US" w:eastAsia="en-ZA"/>
    </w:rPr>
  </w:style>
  <w:style w:type="table" w:styleId="TableGrid">
    <w:name w:val="Table Grid"/>
    <w:basedOn w:val="TableNormal"/>
    <w:uiPriority w:val="99"/>
    <w:rsid w:val="00EA2CF9"/>
    <w:rPr>
      <w:rFonts w:eastAsia="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le of contents numbered Char"/>
    <w:link w:val="ListParagraph"/>
    <w:uiPriority w:val="99"/>
    <w:locked/>
    <w:rsid w:val="00EA2CF9"/>
    <w:rPr>
      <w:rFonts w:eastAsia="Times New Roman"/>
      <w:lang w:eastAsia="en-ZA"/>
    </w:rPr>
  </w:style>
  <w:style w:type="paragraph" w:styleId="BalloonText">
    <w:name w:val="Balloon Text"/>
    <w:basedOn w:val="Normal"/>
    <w:link w:val="BalloonTextChar"/>
    <w:uiPriority w:val="99"/>
    <w:semiHidden/>
    <w:rsid w:val="00EA2CF9"/>
    <w:pPr>
      <w:spacing w:after="0" w:line="240" w:lineRule="auto"/>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semiHidden/>
    <w:locked/>
    <w:rsid w:val="00EA2CF9"/>
    <w:rPr>
      <w:rFonts w:ascii="Tahom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10243</Characters>
  <Application>Microsoft Office Word</Application>
  <DocSecurity>0</DocSecurity>
  <Lines>85</Lines>
  <Paragraphs>24</Paragraphs>
  <ScaleCrop>false</ScaleCrop>
  <Company>HP</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mahada.l</dc:creator>
  <cp:lastModifiedBy>PUMZA</cp:lastModifiedBy>
  <cp:revision>2</cp:revision>
  <dcterms:created xsi:type="dcterms:W3CDTF">2015-07-22T12:47:00Z</dcterms:created>
  <dcterms:modified xsi:type="dcterms:W3CDTF">2015-07-22T12:47:00Z</dcterms:modified>
</cp:coreProperties>
</file>