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DC0DD3" w:rsidP="00DB2624">
      <w:pPr>
        <w:rPr>
          <w:lang w:val="en-ZA"/>
        </w:rPr>
      </w:pPr>
    </w:p>
    <w:p w:rsidR="005047F1" w:rsidRDefault="005047F1" w:rsidP="00DB2624">
      <w:pPr>
        <w:rPr>
          <w:lang w:val="en-ZA"/>
        </w:rPr>
      </w:pPr>
    </w:p>
    <w:p w:rsidR="005047F1" w:rsidRDefault="007A362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793634">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C61678">
        <w:rPr>
          <w:rFonts w:ascii="Arial" w:hAnsi="Arial" w:cs="Arial"/>
          <w:b/>
        </w:rPr>
        <w:t>1</w:t>
      </w:r>
      <w:r w:rsidR="00872FC3">
        <w:rPr>
          <w:rFonts w:ascii="Arial" w:hAnsi="Arial" w:cs="Arial"/>
          <w:b/>
        </w:rPr>
        <w:t>735</w:t>
      </w:r>
    </w:p>
    <w:p w:rsidR="007252FF" w:rsidRPr="007252FF" w:rsidRDefault="007252FF" w:rsidP="006C7F97">
      <w:pPr>
        <w:jc w:val="both"/>
        <w:rPr>
          <w:rFonts w:ascii="Arial" w:hAnsi="Arial" w:cs="Arial"/>
          <w:b/>
        </w:rPr>
      </w:pPr>
    </w:p>
    <w:p w:rsidR="00872FC3" w:rsidRPr="00872FC3" w:rsidRDefault="00872FC3" w:rsidP="00872FC3">
      <w:pPr>
        <w:spacing w:before="100" w:beforeAutospacing="1" w:after="100" w:afterAutospacing="1" w:line="276" w:lineRule="auto"/>
        <w:ind w:left="720" w:hanging="720"/>
        <w:jc w:val="both"/>
        <w:rPr>
          <w:rFonts w:ascii="Arial" w:hAnsi="Arial" w:cs="Arial"/>
          <w:b/>
          <w:bCs/>
          <w:lang w:val="en-GB"/>
        </w:rPr>
      </w:pPr>
      <w:r w:rsidRPr="00872FC3">
        <w:rPr>
          <w:rFonts w:ascii="Arial" w:hAnsi="Arial" w:cs="Arial"/>
          <w:b/>
          <w:bCs/>
          <w:lang w:val="en-GB"/>
        </w:rPr>
        <w:t>Adv A de W Alberts (FF Plus) to ask the Minister of Public Enterprises:</w:t>
      </w:r>
    </w:p>
    <w:p w:rsidR="00872FC3" w:rsidRPr="00872FC3" w:rsidRDefault="00872FC3" w:rsidP="00872FC3">
      <w:pPr>
        <w:spacing w:before="100" w:beforeAutospacing="1" w:after="100" w:afterAutospacing="1" w:line="276" w:lineRule="auto"/>
        <w:ind w:left="567" w:hanging="567"/>
        <w:jc w:val="both"/>
        <w:rPr>
          <w:rFonts w:ascii="Arial" w:hAnsi="Arial" w:cs="Arial"/>
          <w:color w:val="000000"/>
          <w:lang w:val="en-GB"/>
        </w:rPr>
      </w:pPr>
      <w:r w:rsidRPr="00872FC3">
        <w:rPr>
          <w:rFonts w:ascii="Arial" w:hAnsi="Arial" w:cs="Arial"/>
          <w:color w:val="000000"/>
          <w:lang w:val="en-GB"/>
        </w:rPr>
        <w:t>(1)    </w:t>
      </w:r>
      <w:r w:rsidRPr="00872FC3">
        <w:rPr>
          <w:rFonts w:ascii="Arial" w:hAnsi="Arial" w:cs="Arial"/>
          <w:color w:val="000000"/>
          <w:lang w:val="en-GB"/>
        </w:rPr>
        <w:tab/>
        <w:t xml:space="preserve">Why is Transnet continuing to sell some of its Sishen-Saldanha line’s operational electric locomotives and apparently to replace them with locomotives from the controversial tender to provide 1 064 locomotives, which is currently being investigated as part of the investigation into state capture; </w:t>
      </w:r>
    </w:p>
    <w:p w:rsidR="00872FC3" w:rsidRPr="00872FC3" w:rsidRDefault="00872FC3" w:rsidP="00352723">
      <w:pPr>
        <w:spacing w:before="100" w:beforeAutospacing="1" w:after="100" w:afterAutospacing="1" w:line="276" w:lineRule="auto"/>
        <w:ind w:left="567" w:hanging="567"/>
        <w:jc w:val="both"/>
        <w:rPr>
          <w:rFonts w:ascii="Arial" w:hAnsi="Arial" w:cs="Arial"/>
          <w:color w:val="000000"/>
          <w:lang w:val="en-GB"/>
        </w:rPr>
      </w:pPr>
      <w:r w:rsidRPr="00872FC3">
        <w:rPr>
          <w:rFonts w:ascii="Arial" w:hAnsi="Arial" w:cs="Arial"/>
          <w:color w:val="000000"/>
          <w:lang w:val="en-GB"/>
        </w:rPr>
        <w:t>(2)  </w:t>
      </w:r>
      <w:r w:rsidR="00352723">
        <w:rPr>
          <w:rFonts w:ascii="Arial" w:hAnsi="Arial" w:cs="Arial"/>
          <w:color w:val="000000"/>
          <w:lang w:val="en-GB"/>
        </w:rPr>
        <w:t xml:space="preserve"> </w:t>
      </w:r>
      <w:r w:rsidRPr="00872FC3">
        <w:rPr>
          <w:rFonts w:ascii="Arial" w:hAnsi="Arial" w:cs="Arial"/>
          <w:color w:val="000000"/>
          <w:lang w:val="en-GB"/>
        </w:rPr>
        <w:t> </w:t>
      </w:r>
      <w:r w:rsidR="00352723">
        <w:rPr>
          <w:rFonts w:ascii="Arial" w:hAnsi="Arial" w:cs="Arial"/>
          <w:color w:val="000000"/>
          <w:lang w:val="en-GB"/>
        </w:rPr>
        <w:t>W</w:t>
      </w:r>
      <w:r w:rsidRPr="00872FC3">
        <w:rPr>
          <w:rFonts w:ascii="Arial" w:hAnsi="Arial" w:cs="Arial"/>
          <w:color w:val="000000"/>
          <w:lang w:val="en-GB"/>
        </w:rPr>
        <w:t xml:space="preserve">hether he will consider placing a moratorium on all auctions and sales of assets at Transnet in order to provide the new board with the opportunity of undertaking the necessary investigations; if not, why not; </w:t>
      </w:r>
    </w:p>
    <w:p w:rsidR="00872FC3" w:rsidRPr="00872FC3" w:rsidRDefault="00352723" w:rsidP="00352723">
      <w:pPr>
        <w:spacing w:line="276" w:lineRule="auto"/>
        <w:ind w:left="567" w:hanging="567"/>
        <w:jc w:val="both"/>
        <w:rPr>
          <w:rFonts w:ascii="Arial" w:hAnsi="Arial" w:cs="Arial"/>
          <w:lang w:val="en-GB"/>
        </w:rPr>
      </w:pPr>
      <w:r>
        <w:rPr>
          <w:rFonts w:ascii="Arial" w:hAnsi="Arial" w:cs="Arial"/>
          <w:color w:val="000000"/>
          <w:lang w:val="en-GB"/>
        </w:rPr>
        <w:t>(3)    </w:t>
      </w:r>
      <w:r w:rsidR="00872FC3">
        <w:rPr>
          <w:rFonts w:ascii="Arial" w:hAnsi="Arial" w:cs="Arial"/>
          <w:color w:val="000000"/>
          <w:lang w:val="en-GB"/>
        </w:rPr>
        <w:t>W</w:t>
      </w:r>
      <w:r w:rsidR="00872FC3" w:rsidRPr="00872FC3">
        <w:rPr>
          <w:rFonts w:ascii="Arial" w:hAnsi="Arial" w:cs="Arial"/>
          <w:color w:val="000000"/>
          <w:lang w:val="en-GB"/>
        </w:rPr>
        <w:t xml:space="preserve">hether he will make a statement about the matter?          </w:t>
      </w:r>
      <w:r w:rsidR="00872FC3" w:rsidRPr="00872FC3">
        <w:rPr>
          <w:rFonts w:ascii="Arial" w:hAnsi="Arial" w:cs="Arial"/>
          <w:lang w:val="en-GB"/>
        </w:rPr>
        <w:t>NW1887E</w:t>
      </w:r>
    </w:p>
    <w:p w:rsidR="003E7544" w:rsidRPr="00872FC3" w:rsidRDefault="003E7544" w:rsidP="00872FC3">
      <w:pPr>
        <w:ind w:left="709" w:hanging="709"/>
        <w:jc w:val="both"/>
        <w:rPr>
          <w:rFonts w:ascii="Arial" w:hAnsi="Arial" w:cs="Arial"/>
          <w:bCs/>
        </w:rPr>
      </w:pPr>
    </w:p>
    <w:p w:rsidR="00B069C5" w:rsidRPr="00872FC3" w:rsidRDefault="00E507CC" w:rsidP="00872FC3">
      <w:pPr>
        <w:jc w:val="both"/>
        <w:rPr>
          <w:rFonts w:ascii="Arial" w:hAnsi="Arial" w:cs="Arial"/>
          <w:bCs/>
          <w:vertAlign w:val="superscript"/>
        </w:rPr>
      </w:pPr>
      <w:r w:rsidRPr="00872FC3">
        <w:rPr>
          <w:rFonts w:ascii="Arial" w:hAnsi="Arial" w:cs="Arial"/>
          <w:b/>
          <w:bCs/>
        </w:rPr>
        <w:t>This response is accordin</w:t>
      </w:r>
      <w:r w:rsidR="00560601" w:rsidRPr="00872FC3">
        <w:rPr>
          <w:rFonts w:ascii="Arial" w:hAnsi="Arial" w:cs="Arial"/>
          <w:b/>
          <w:bCs/>
        </w:rPr>
        <w:t>g to information received from Transnet</w:t>
      </w:r>
      <w:r w:rsidR="00354519" w:rsidRPr="00872FC3">
        <w:rPr>
          <w:rFonts w:ascii="Arial" w:hAnsi="Arial" w:cs="Arial"/>
          <w:b/>
          <w:bCs/>
        </w:rPr>
        <w:t>:</w:t>
      </w:r>
      <w:r w:rsidRPr="00872FC3">
        <w:rPr>
          <w:rFonts w:ascii="Arial" w:hAnsi="Arial" w:cs="Arial"/>
          <w:bCs/>
          <w:vertAlign w:val="superscript"/>
        </w:rPr>
        <w:t xml:space="preserve"> </w:t>
      </w:r>
    </w:p>
    <w:p w:rsidR="00510432" w:rsidRPr="00872FC3" w:rsidRDefault="00510432" w:rsidP="00872FC3">
      <w:pPr>
        <w:jc w:val="both"/>
        <w:rPr>
          <w:rFonts w:ascii="Arial" w:hAnsi="Arial" w:cs="Arial"/>
          <w:bCs/>
        </w:rPr>
      </w:pPr>
    </w:p>
    <w:p w:rsidR="00872FC3" w:rsidRPr="00872FC3" w:rsidRDefault="00872FC3" w:rsidP="00352723">
      <w:pPr>
        <w:pStyle w:val="ListParagraph"/>
        <w:numPr>
          <w:ilvl w:val="0"/>
          <w:numId w:val="16"/>
        </w:numPr>
        <w:spacing w:before="100" w:beforeAutospacing="1" w:after="100" w:afterAutospacing="1"/>
        <w:ind w:left="567" w:hanging="567"/>
        <w:contextualSpacing w:val="0"/>
        <w:jc w:val="both"/>
        <w:rPr>
          <w:rFonts w:ascii="Arial" w:hAnsi="Arial" w:cs="Arial"/>
          <w:color w:val="000000"/>
          <w:sz w:val="24"/>
          <w:szCs w:val="24"/>
          <w:lang w:val="en-ZA"/>
        </w:rPr>
      </w:pPr>
      <w:r w:rsidRPr="00872FC3">
        <w:rPr>
          <w:rFonts w:ascii="Arial" w:hAnsi="Arial" w:cs="Arial"/>
          <w:sz w:val="24"/>
          <w:szCs w:val="24"/>
        </w:rPr>
        <w:t>Trans</w:t>
      </w:r>
      <w:r w:rsidRPr="00872FC3">
        <w:rPr>
          <w:rFonts w:ascii="Arial" w:hAnsi="Arial" w:cs="Arial"/>
          <w:color w:val="000000"/>
          <w:sz w:val="24"/>
          <w:szCs w:val="24"/>
        </w:rPr>
        <w:t>net SOC Ltd (Transnet) has electric locomotive</w:t>
      </w:r>
      <w:r w:rsidR="00352723">
        <w:rPr>
          <w:rFonts w:ascii="Arial" w:hAnsi="Arial" w:cs="Arial"/>
          <w:color w:val="000000"/>
          <w:sz w:val="24"/>
          <w:szCs w:val="24"/>
        </w:rPr>
        <w:t>s</w:t>
      </w:r>
      <w:r w:rsidRPr="00872FC3">
        <w:rPr>
          <w:rFonts w:ascii="Arial" w:hAnsi="Arial" w:cs="Arial"/>
          <w:color w:val="000000"/>
          <w:sz w:val="24"/>
          <w:szCs w:val="24"/>
        </w:rPr>
        <w:t xml:space="preserve"> (9E electric) fleet which used to operate on the Ore Line (Sishen-Saldanha). These 9E locomotives were unique to the Sishen-Saldanha line and </w:t>
      </w:r>
      <w:r w:rsidR="00352723">
        <w:rPr>
          <w:rFonts w:ascii="Arial" w:hAnsi="Arial" w:cs="Arial"/>
          <w:color w:val="000000"/>
          <w:sz w:val="24"/>
          <w:szCs w:val="24"/>
        </w:rPr>
        <w:t xml:space="preserve">were </w:t>
      </w:r>
      <w:r w:rsidRPr="00872FC3">
        <w:rPr>
          <w:rFonts w:ascii="Arial" w:hAnsi="Arial" w:cs="Arial"/>
          <w:color w:val="000000"/>
          <w:sz w:val="24"/>
          <w:szCs w:val="24"/>
        </w:rPr>
        <w:t xml:space="preserve">not </w:t>
      </w:r>
      <w:r w:rsidR="00793634">
        <w:rPr>
          <w:rFonts w:ascii="Arial" w:hAnsi="Arial" w:cs="Arial"/>
          <w:color w:val="000000"/>
          <w:sz w:val="24"/>
          <w:szCs w:val="24"/>
        </w:rPr>
        <w:t xml:space="preserve">to </w:t>
      </w:r>
      <w:r w:rsidRPr="00872FC3">
        <w:rPr>
          <w:rFonts w:ascii="Arial" w:hAnsi="Arial" w:cs="Arial"/>
          <w:color w:val="000000"/>
          <w:sz w:val="24"/>
          <w:szCs w:val="24"/>
        </w:rPr>
        <w:t xml:space="preserve">be used elsewhere in Africa. </w:t>
      </w:r>
    </w:p>
    <w:p w:rsidR="00872FC3" w:rsidRPr="00872FC3" w:rsidRDefault="00872FC3" w:rsidP="00352723">
      <w:pPr>
        <w:pStyle w:val="ListParagraph"/>
        <w:spacing w:before="100" w:beforeAutospacing="1" w:after="100" w:afterAutospacing="1"/>
        <w:ind w:left="567"/>
        <w:jc w:val="both"/>
        <w:rPr>
          <w:rFonts w:ascii="Arial" w:hAnsi="Arial" w:cs="Arial"/>
          <w:color w:val="000000"/>
          <w:sz w:val="24"/>
          <w:szCs w:val="24"/>
        </w:rPr>
      </w:pPr>
      <w:r w:rsidRPr="00872FC3">
        <w:rPr>
          <w:rFonts w:ascii="Arial" w:hAnsi="Arial" w:cs="Arial"/>
          <w:color w:val="000000"/>
          <w:sz w:val="24"/>
          <w:szCs w:val="24"/>
        </w:rPr>
        <w:t xml:space="preserve">The first of these old locomotives arrived in 1978. These locomotives reached the end of life six (6) years ago and the last ten (10) locomotives were eventually </w:t>
      </w:r>
      <w:r w:rsidR="007962B3" w:rsidRPr="00872FC3">
        <w:rPr>
          <w:rFonts w:ascii="Arial" w:hAnsi="Arial" w:cs="Arial"/>
          <w:color w:val="000000"/>
          <w:sz w:val="24"/>
          <w:szCs w:val="24"/>
        </w:rPr>
        <w:t>staged in</w:t>
      </w:r>
      <w:r w:rsidRPr="00872FC3">
        <w:rPr>
          <w:rFonts w:ascii="Arial" w:hAnsi="Arial" w:cs="Arial"/>
          <w:color w:val="000000"/>
          <w:sz w:val="24"/>
          <w:szCs w:val="24"/>
        </w:rPr>
        <w:t xml:space="preserve"> 2016 and have not been operating since then, as </w:t>
      </w:r>
      <w:r w:rsidRPr="00872FC3">
        <w:rPr>
          <w:rFonts w:ascii="Arial" w:hAnsi="Arial" w:cs="Arial"/>
          <w:color w:val="000000"/>
          <w:sz w:val="24"/>
          <w:szCs w:val="24"/>
        </w:rPr>
        <w:lastRenderedPageBreak/>
        <w:t>their components were obsolete and were uneconomical to maintain. Any remaining parts were subsequently sold off.</w:t>
      </w:r>
    </w:p>
    <w:p w:rsidR="00872FC3" w:rsidRDefault="00872FC3" w:rsidP="00352723">
      <w:pPr>
        <w:pStyle w:val="ListParagraph"/>
        <w:spacing w:before="100" w:beforeAutospacing="1" w:after="100" w:afterAutospacing="1"/>
        <w:ind w:left="567"/>
        <w:jc w:val="both"/>
        <w:rPr>
          <w:rFonts w:ascii="Arial" w:hAnsi="Arial" w:cs="Arial"/>
          <w:color w:val="000000"/>
          <w:sz w:val="24"/>
          <w:szCs w:val="24"/>
        </w:rPr>
      </w:pPr>
      <w:r w:rsidRPr="00872FC3">
        <w:rPr>
          <w:rFonts w:ascii="Arial" w:hAnsi="Arial" w:cs="Arial"/>
          <w:color w:val="000000"/>
          <w:sz w:val="24"/>
          <w:szCs w:val="24"/>
        </w:rPr>
        <w:t xml:space="preserve">They were subsequently replaced with 15E locomotives, the first of which arrived in 2010. </w:t>
      </w:r>
    </w:p>
    <w:p w:rsidR="00352723" w:rsidRPr="00872FC3" w:rsidRDefault="00352723" w:rsidP="00352723">
      <w:pPr>
        <w:pStyle w:val="ListParagraph"/>
        <w:spacing w:before="100" w:beforeAutospacing="1" w:after="100" w:afterAutospacing="1"/>
        <w:ind w:left="567"/>
        <w:jc w:val="both"/>
        <w:rPr>
          <w:rFonts w:ascii="Arial" w:hAnsi="Arial" w:cs="Arial"/>
          <w:color w:val="000000"/>
          <w:sz w:val="24"/>
          <w:szCs w:val="24"/>
        </w:rPr>
      </w:pPr>
    </w:p>
    <w:p w:rsidR="00872FC3" w:rsidRDefault="00872FC3" w:rsidP="00472DA9">
      <w:pPr>
        <w:pStyle w:val="ListParagraph"/>
        <w:spacing w:before="100" w:beforeAutospacing="1" w:after="100" w:afterAutospacing="1"/>
        <w:ind w:left="567" w:hanging="709"/>
        <w:jc w:val="both"/>
        <w:rPr>
          <w:rFonts w:ascii="Arial" w:hAnsi="Arial" w:cs="Arial"/>
          <w:color w:val="000000"/>
          <w:sz w:val="24"/>
          <w:szCs w:val="24"/>
        </w:rPr>
      </w:pPr>
      <w:r w:rsidRPr="00872FC3">
        <w:rPr>
          <w:rFonts w:ascii="Arial" w:hAnsi="Arial" w:cs="Arial"/>
          <w:color w:val="000000"/>
          <w:sz w:val="24"/>
          <w:szCs w:val="24"/>
        </w:rPr>
        <w:t xml:space="preserve">    (2) </w:t>
      </w:r>
      <w:r w:rsidR="00472DA9">
        <w:rPr>
          <w:rFonts w:ascii="Arial" w:hAnsi="Arial" w:cs="Arial"/>
          <w:color w:val="000000"/>
          <w:sz w:val="24"/>
          <w:szCs w:val="24"/>
        </w:rPr>
        <w:t>This is an operational decision within the powers of Transnet management under the supervision of the Board of Directors. There is also a Significance Materiality Framework which gives guidance and thresholds on such matters.</w:t>
      </w:r>
    </w:p>
    <w:p w:rsidR="00352723" w:rsidRPr="00872FC3" w:rsidRDefault="00352723" w:rsidP="00352723">
      <w:pPr>
        <w:pStyle w:val="ListParagraph"/>
        <w:spacing w:before="100" w:beforeAutospacing="1" w:after="100" w:afterAutospacing="1"/>
        <w:ind w:left="430" w:hanging="430"/>
        <w:jc w:val="both"/>
        <w:rPr>
          <w:rFonts w:ascii="Arial" w:hAnsi="Arial" w:cs="Arial"/>
          <w:sz w:val="24"/>
          <w:szCs w:val="24"/>
        </w:rPr>
      </w:pPr>
    </w:p>
    <w:p w:rsidR="00872FC3" w:rsidRPr="00872FC3" w:rsidRDefault="00352723" w:rsidP="00472DA9">
      <w:pPr>
        <w:pStyle w:val="ListParagraph"/>
        <w:spacing w:before="100" w:beforeAutospacing="1" w:after="100" w:afterAutospacing="1"/>
        <w:ind w:left="430" w:hanging="572"/>
        <w:jc w:val="both"/>
        <w:rPr>
          <w:rFonts w:ascii="Arial" w:hAnsi="Arial" w:cs="Arial"/>
          <w:color w:val="000000"/>
          <w:sz w:val="24"/>
          <w:szCs w:val="24"/>
        </w:rPr>
      </w:pPr>
      <w:r>
        <w:rPr>
          <w:rFonts w:ascii="Arial" w:hAnsi="Arial" w:cs="Arial"/>
          <w:color w:val="000000"/>
          <w:sz w:val="24"/>
          <w:szCs w:val="24"/>
        </w:rPr>
        <w:t xml:space="preserve">  </w:t>
      </w:r>
      <w:r w:rsidR="00872FC3" w:rsidRPr="00872FC3">
        <w:rPr>
          <w:rFonts w:ascii="Arial" w:hAnsi="Arial" w:cs="Arial"/>
          <w:color w:val="000000"/>
          <w:sz w:val="24"/>
          <w:szCs w:val="24"/>
        </w:rPr>
        <w:t xml:space="preserve">(3) </w:t>
      </w:r>
      <w:r w:rsidR="00472DA9">
        <w:rPr>
          <w:rFonts w:ascii="Arial" w:hAnsi="Arial" w:cs="Arial"/>
          <w:color w:val="000000"/>
          <w:sz w:val="24"/>
          <w:szCs w:val="24"/>
        </w:rPr>
        <w:t xml:space="preserve"> The Minister is on record that the contract will be investigated.  If foul play is established</w:t>
      </w:r>
      <w:r w:rsidR="00CA3AF2">
        <w:rPr>
          <w:rFonts w:ascii="Arial" w:hAnsi="Arial" w:cs="Arial"/>
          <w:color w:val="000000"/>
          <w:sz w:val="24"/>
          <w:szCs w:val="24"/>
        </w:rPr>
        <w:t>,</w:t>
      </w:r>
      <w:r w:rsidR="00472DA9">
        <w:rPr>
          <w:rFonts w:ascii="Arial" w:hAnsi="Arial" w:cs="Arial"/>
          <w:color w:val="000000"/>
          <w:sz w:val="24"/>
          <w:szCs w:val="24"/>
        </w:rPr>
        <w:t xml:space="preserve"> a</w:t>
      </w:r>
      <w:r w:rsidR="00793634">
        <w:rPr>
          <w:rFonts w:ascii="Arial" w:hAnsi="Arial" w:cs="Arial"/>
          <w:color w:val="000000"/>
          <w:sz w:val="24"/>
          <w:szCs w:val="24"/>
        </w:rPr>
        <w:t>ppropriate action will be taken. To date two forensic reports are available. The new Board of Transnet is discussing these reports and will soon be announcing its plans to act on all those guilty of corruption or any other malpractices.</w:t>
      </w:r>
    </w:p>
    <w:p w:rsidR="00872FC3" w:rsidRPr="00872FC3" w:rsidRDefault="00872FC3" w:rsidP="00872FC3">
      <w:pPr>
        <w:pStyle w:val="ListParagraph"/>
        <w:spacing w:before="100" w:beforeAutospacing="1" w:after="100" w:afterAutospacing="1"/>
        <w:ind w:left="1410" w:hanging="690"/>
        <w:jc w:val="both"/>
        <w:rPr>
          <w:rFonts w:ascii="Arial" w:hAnsi="Arial" w:cs="Arial"/>
          <w:b/>
          <w:color w:val="000000"/>
          <w:sz w:val="24"/>
          <w:szCs w:val="24"/>
          <w:highlight w:val="yellow"/>
          <w:lang w:val="en-GB"/>
        </w:rPr>
      </w:pPr>
    </w:p>
    <w:p w:rsidR="00560601" w:rsidRPr="00560601" w:rsidRDefault="00560601" w:rsidP="00560601">
      <w:pPr>
        <w:ind w:left="709" w:hanging="709"/>
        <w:jc w:val="both"/>
        <w:rPr>
          <w:rFonts w:ascii="Arial" w:hAnsi="Arial" w:cs="Arial"/>
        </w:rPr>
      </w:pPr>
    </w:p>
    <w:sectPr w:rsidR="00560601" w:rsidRP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C3" w:rsidRDefault="009242C3" w:rsidP="002F7B6C">
      <w:r>
        <w:separator/>
      </w:r>
    </w:p>
  </w:endnote>
  <w:endnote w:type="continuationSeparator" w:id="0">
    <w:p w:rsidR="009242C3" w:rsidRDefault="009242C3"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242C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C3" w:rsidRDefault="009242C3" w:rsidP="002F7B6C">
      <w:r>
        <w:separator/>
      </w:r>
    </w:p>
  </w:footnote>
  <w:footnote w:type="continuationSeparator" w:id="0">
    <w:p w:rsidR="009242C3" w:rsidRDefault="009242C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7">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8885752"/>
    <w:multiLevelType w:val="hybridMultilevel"/>
    <w:tmpl w:val="ADC63024"/>
    <w:lvl w:ilvl="0" w:tplc="65F044FA">
      <w:start w:val="1"/>
      <w:numFmt w:val="decimal"/>
      <w:lvlText w:val="(%1)"/>
      <w:lvlJc w:val="left"/>
      <w:pPr>
        <w:ind w:left="1770" w:hanging="360"/>
      </w:pPr>
      <w:rPr>
        <w:color w:val="auto"/>
      </w:rPr>
    </w:lvl>
    <w:lvl w:ilvl="1" w:tplc="1C090019">
      <w:start w:val="1"/>
      <w:numFmt w:val="lowerLetter"/>
      <w:lvlText w:val="%2."/>
      <w:lvlJc w:val="left"/>
      <w:pPr>
        <w:ind w:left="2490" w:hanging="360"/>
      </w:pPr>
    </w:lvl>
    <w:lvl w:ilvl="2" w:tplc="1C09001B">
      <w:start w:val="1"/>
      <w:numFmt w:val="lowerRoman"/>
      <w:lvlText w:val="%3."/>
      <w:lvlJc w:val="right"/>
      <w:pPr>
        <w:ind w:left="3210" w:hanging="180"/>
      </w:pPr>
    </w:lvl>
    <w:lvl w:ilvl="3" w:tplc="1C09000F">
      <w:start w:val="1"/>
      <w:numFmt w:val="decimal"/>
      <w:lvlText w:val="%4."/>
      <w:lvlJc w:val="left"/>
      <w:pPr>
        <w:ind w:left="3930" w:hanging="360"/>
      </w:pPr>
    </w:lvl>
    <w:lvl w:ilvl="4" w:tplc="1C090019">
      <w:start w:val="1"/>
      <w:numFmt w:val="lowerLetter"/>
      <w:lvlText w:val="%5."/>
      <w:lvlJc w:val="left"/>
      <w:pPr>
        <w:ind w:left="4650" w:hanging="360"/>
      </w:pPr>
    </w:lvl>
    <w:lvl w:ilvl="5" w:tplc="1C09001B">
      <w:start w:val="1"/>
      <w:numFmt w:val="lowerRoman"/>
      <w:lvlText w:val="%6."/>
      <w:lvlJc w:val="right"/>
      <w:pPr>
        <w:ind w:left="5370" w:hanging="180"/>
      </w:pPr>
    </w:lvl>
    <w:lvl w:ilvl="6" w:tplc="1C09000F">
      <w:start w:val="1"/>
      <w:numFmt w:val="decimal"/>
      <w:lvlText w:val="%7."/>
      <w:lvlJc w:val="left"/>
      <w:pPr>
        <w:ind w:left="6090" w:hanging="360"/>
      </w:pPr>
    </w:lvl>
    <w:lvl w:ilvl="7" w:tplc="1C090019">
      <w:start w:val="1"/>
      <w:numFmt w:val="lowerLetter"/>
      <w:lvlText w:val="%8."/>
      <w:lvlJc w:val="left"/>
      <w:pPr>
        <w:ind w:left="6810" w:hanging="360"/>
      </w:pPr>
    </w:lvl>
    <w:lvl w:ilvl="8" w:tplc="1C09001B">
      <w:start w:val="1"/>
      <w:numFmt w:val="lowerRoman"/>
      <w:lvlText w:val="%9."/>
      <w:lvlJc w:val="right"/>
      <w:pPr>
        <w:ind w:left="7530" w:hanging="180"/>
      </w:pPr>
    </w:lvl>
  </w:abstractNum>
  <w:abstractNum w:abstractNumId="1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4">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2"/>
  </w:num>
  <w:num w:numId="2">
    <w:abstractNumId w:val="5"/>
  </w:num>
  <w:num w:numId="3">
    <w:abstractNumId w:val="9"/>
  </w:num>
  <w:num w:numId="4">
    <w:abstractNumId w:val="14"/>
  </w:num>
  <w:num w:numId="5">
    <w:abstractNumId w:val="2"/>
  </w:num>
  <w:num w:numId="6">
    <w:abstractNumId w:val="4"/>
  </w:num>
  <w:num w:numId="7">
    <w:abstractNumId w:val="3"/>
  </w:num>
  <w:num w:numId="8">
    <w:abstractNumId w:val="6"/>
    <w:lvlOverride w:ilvl="0"/>
    <w:lvlOverride w:ilvl="1"/>
    <w:lvlOverride w:ilvl="2"/>
    <w:lvlOverride w:ilvl="3"/>
    <w:lvlOverride w:ilvl="4"/>
    <w:lvlOverride w:ilvl="5"/>
    <w:lvlOverride w:ilvl="6"/>
    <w:lvlOverride w:ilvl="7"/>
    <w:lvlOverride w:ilvl="8"/>
  </w:num>
  <w:num w:numId="9">
    <w:abstractNumId w:val="8"/>
  </w:num>
  <w:num w:numId="10">
    <w:abstractNumId w:val="1"/>
  </w:num>
  <w:num w:numId="11">
    <w:abstractNumId w:val="10"/>
  </w:num>
  <w:num w:numId="12">
    <w:abstractNumId w:val="13"/>
  </w:num>
  <w:num w:numId="13">
    <w:abstractNumId w:val="0"/>
  </w:num>
  <w:num w:numId="14">
    <w:abstractNumId w:val="15"/>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26AAA"/>
    <w:rsid w:val="000317FC"/>
    <w:rsid w:val="00037BA8"/>
    <w:rsid w:val="00053958"/>
    <w:rsid w:val="00057454"/>
    <w:rsid w:val="00063424"/>
    <w:rsid w:val="00074005"/>
    <w:rsid w:val="000761C1"/>
    <w:rsid w:val="00082DF7"/>
    <w:rsid w:val="00093C4D"/>
    <w:rsid w:val="000A6768"/>
    <w:rsid w:val="000B0078"/>
    <w:rsid w:val="000B0758"/>
    <w:rsid w:val="000B6C62"/>
    <w:rsid w:val="000C3146"/>
    <w:rsid w:val="000D0546"/>
    <w:rsid w:val="000E13FF"/>
    <w:rsid w:val="000E5477"/>
    <w:rsid w:val="000F170E"/>
    <w:rsid w:val="000F3A24"/>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35B3C"/>
    <w:rsid w:val="00344369"/>
    <w:rsid w:val="003502E6"/>
    <w:rsid w:val="00352723"/>
    <w:rsid w:val="00354519"/>
    <w:rsid w:val="00375892"/>
    <w:rsid w:val="003828D9"/>
    <w:rsid w:val="0039441D"/>
    <w:rsid w:val="00397295"/>
    <w:rsid w:val="00397F90"/>
    <w:rsid w:val="003A0568"/>
    <w:rsid w:val="003A7F30"/>
    <w:rsid w:val="003E19BD"/>
    <w:rsid w:val="003E461F"/>
    <w:rsid w:val="003E4CFD"/>
    <w:rsid w:val="003E7544"/>
    <w:rsid w:val="003F04C2"/>
    <w:rsid w:val="003F4426"/>
    <w:rsid w:val="00413F67"/>
    <w:rsid w:val="0041415F"/>
    <w:rsid w:val="004278AA"/>
    <w:rsid w:val="00470635"/>
    <w:rsid w:val="00472DA9"/>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1A3A"/>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3634"/>
    <w:rsid w:val="00794BA1"/>
    <w:rsid w:val="007962B3"/>
    <w:rsid w:val="007A0A55"/>
    <w:rsid w:val="007A205F"/>
    <w:rsid w:val="007A3626"/>
    <w:rsid w:val="007A5976"/>
    <w:rsid w:val="007B3B72"/>
    <w:rsid w:val="007C1F04"/>
    <w:rsid w:val="007C59C4"/>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6531C"/>
    <w:rsid w:val="0087180B"/>
    <w:rsid w:val="00872FC3"/>
    <w:rsid w:val="00881CA9"/>
    <w:rsid w:val="008857F0"/>
    <w:rsid w:val="008858C0"/>
    <w:rsid w:val="00887984"/>
    <w:rsid w:val="00892651"/>
    <w:rsid w:val="008971B8"/>
    <w:rsid w:val="008A124E"/>
    <w:rsid w:val="008A25CE"/>
    <w:rsid w:val="008C2252"/>
    <w:rsid w:val="008E0C4E"/>
    <w:rsid w:val="008F248D"/>
    <w:rsid w:val="008F31BE"/>
    <w:rsid w:val="008F4E54"/>
    <w:rsid w:val="00900509"/>
    <w:rsid w:val="009242C3"/>
    <w:rsid w:val="00933A9C"/>
    <w:rsid w:val="00945889"/>
    <w:rsid w:val="00956CC7"/>
    <w:rsid w:val="00983134"/>
    <w:rsid w:val="00983745"/>
    <w:rsid w:val="009B2126"/>
    <w:rsid w:val="009B2C8E"/>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2D1A"/>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A3AF2"/>
    <w:rsid w:val="00CB5861"/>
    <w:rsid w:val="00CB5C46"/>
    <w:rsid w:val="00CB74D7"/>
    <w:rsid w:val="00CE514E"/>
    <w:rsid w:val="00CE6D28"/>
    <w:rsid w:val="00CF5106"/>
    <w:rsid w:val="00CF5D4B"/>
    <w:rsid w:val="00D042B8"/>
    <w:rsid w:val="00D25ED9"/>
    <w:rsid w:val="00D26A42"/>
    <w:rsid w:val="00D301BD"/>
    <w:rsid w:val="00D37BD8"/>
    <w:rsid w:val="00D4715B"/>
    <w:rsid w:val="00D71D6C"/>
    <w:rsid w:val="00D72332"/>
    <w:rsid w:val="00D72B16"/>
    <w:rsid w:val="00D80097"/>
    <w:rsid w:val="00D805A3"/>
    <w:rsid w:val="00D81CD0"/>
    <w:rsid w:val="00D960C4"/>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5BDD"/>
    <w:rsid w:val="00DF5F61"/>
    <w:rsid w:val="00E21D6C"/>
    <w:rsid w:val="00E21F77"/>
    <w:rsid w:val="00E30CC9"/>
    <w:rsid w:val="00E34EC5"/>
    <w:rsid w:val="00E418EB"/>
    <w:rsid w:val="00E507CC"/>
    <w:rsid w:val="00E569CD"/>
    <w:rsid w:val="00E72CCA"/>
    <w:rsid w:val="00E83DB6"/>
    <w:rsid w:val="00E9248E"/>
    <w:rsid w:val="00E92965"/>
    <w:rsid w:val="00EA2CA0"/>
    <w:rsid w:val="00EA3573"/>
    <w:rsid w:val="00EA3DFB"/>
    <w:rsid w:val="00EA4569"/>
    <w:rsid w:val="00EA6138"/>
    <w:rsid w:val="00EC5665"/>
    <w:rsid w:val="00ED3319"/>
    <w:rsid w:val="00EE1975"/>
    <w:rsid w:val="00EE4B89"/>
    <w:rsid w:val="00EF5F14"/>
    <w:rsid w:val="00F24B6C"/>
    <w:rsid w:val="00F33528"/>
    <w:rsid w:val="00F544FA"/>
    <w:rsid w:val="00F75EA0"/>
    <w:rsid w:val="00F7678F"/>
    <w:rsid w:val="00F80BD9"/>
    <w:rsid w:val="00F82E66"/>
    <w:rsid w:val="00F968DE"/>
    <w:rsid w:val="00FA4243"/>
    <w:rsid w:val="00FC103B"/>
    <w:rsid w:val="00FF3EC8"/>
    <w:rsid w:val="00FF48DA"/>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641691860">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9F5D-4C49-4A8A-B0A5-9FD475F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2018-06-14T09:14:00Z</cp:lastPrinted>
  <dcterms:created xsi:type="dcterms:W3CDTF">2018-06-27T10:20:00Z</dcterms:created>
  <dcterms:modified xsi:type="dcterms:W3CDTF">2018-06-27T10:20:00Z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00000000BC095E7D7A071E45AEB31986C17B1DAB64BBD100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