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0066B7" w:rsidP="00F91FD5">
      <w:pPr>
        <w:rPr>
          <w:b/>
          <w:bCs/>
          <w:szCs w:val="24"/>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95.3pt;margin-top:5.45pt;width:91.5pt;height:102.4pt;z-index:251657728">
            <v:imagedata r:id="rId11" o:title=""/>
            <w10:wrap type="square"/>
          </v:shape>
          <o:OLEObject Type="Embed" ProgID="MSPhotoEd.3" ShapeID="_x0000_s2054" DrawAspect="Content" ObjectID="_1714388636" r:id="rId12"/>
        </w:pict>
      </w: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E5478C" w:rsidRDefault="00E5478C" w:rsidP="00E5478C">
      <w:pPr>
        <w:tabs>
          <w:tab w:val="center" w:pos="5044"/>
          <w:tab w:val="left" w:pos="9140"/>
        </w:tabs>
        <w:spacing w:before="19" w:line="264" w:lineRule="auto"/>
        <w:ind w:left="20" w:right="18"/>
        <w:rPr>
          <w:rFonts w:ascii="Arial" w:hAnsi="Arial" w:cs="Arial"/>
          <w:b/>
          <w:bCs/>
          <w:szCs w:val="24"/>
          <w:lang w:eastAsia="en-US"/>
        </w:rPr>
      </w:pPr>
    </w:p>
    <w:p w:rsidR="008C10CA" w:rsidRPr="00276A15" w:rsidRDefault="008C10CA" w:rsidP="008C10CA">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06</w:t>
      </w:r>
      <w:r w:rsidRPr="00276A15">
        <w:rPr>
          <w:rFonts w:ascii="Arial" w:hAnsi="Arial" w:cs="Arial"/>
          <w:bCs/>
          <w:szCs w:val="24"/>
          <w:lang w:eastAsia="en-US"/>
        </w:rPr>
        <w:t xml:space="preserve"> </w:t>
      </w:r>
      <w:r>
        <w:rPr>
          <w:rFonts w:ascii="Arial" w:hAnsi="Arial" w:cs="Arial"/>
          <w:bCs/>
          <w:szCs w:val="24"/>
          <w:lang w:eastAsia="en-US"/>
        </w:rPr>
        <w:t>May</w:t>
      </w:r>
      <w:r w:rsidRPr="00276A15">
        <w:rPr>
          <w:rFonts w:ascii="Arial" w:hAnsi="Arial" w:cs="Arial"/>
          <w:bCs/>
          <w:szCs w:val="24"/>
          <w:lang w:eastAsia="en-US"/>
        </w:rPr>
        <w:t xml:space="preserve"> 2022</w:t>
      </w:r>
    </w:p>
    <w:p w:rsidR="008C10CA" w:rsidRPr="00276A15" w:rsidRDefault="008C10CA" w:rsidP="008C10CA">
      <w:pPr>
        <w:tabs>
          <w:tab w:val="center" w:pos="5044"/>
          <w:tab w:val="left" w:pos="9140"/>
        </w:tabs>
        <w:spacing w:before="19" w:line="266" w:lineRule="auto"/>
        <w:ind w:left="20" w:right="18"/>
        <w:jc w:val="center"/>
        <w:rPr>
          <w:rFonts w:ascii="Arial" w:hAnsi="Arial" w:cs="Arial"/>
          <w:bCs/>
          <w:szCs w:val="24"/>
          <w:lang w:eastAsia="en-US"/>
        </w:rPr>
      </w:pPr>
    </w:p>
    <w:p w:rsidR="008C10CA" w:rsidRDefault="008C10CA" w:rsidP="008C10CA">
      <w:pPr>
        <w:jc w:val="both"/>
        <w:rPr>
          <w:rFonts w:ascii="Arial" w:hAnsi="Arial" w:cs="Arial"/>
          <w:b/>
          <w:szCs w:val="24"/>
          <w:lang w:eastAsia="en-US"/>
        </w:rPr>
      </w:pPr>
      <w:r w:rsidRPr="00276A15">
        <w:rPr>
          <w:rFonts w:ascii="Arial" w:hAnsi="Arial" w:cs="Arial"/>
          <w:b/>
          <w:szCs w:val="24"/>
          <w:lang w:eastAsia="en-US"/>
        </w:rPr>
        <w:t>1</w:t>
      </w:r>
      <w:r>
        <w:rPr>
          <w:rFonts w:ascii="Arial" w:hAnsi="Arial" w:cs="Arial"/>
          <w:b/>
          <w:szCs w:val="24"/>
          <w:lang w:eastAsia="en-US"/>
        </w:rPr>
        <w:t>731</w:t>
      </w:r>
      <w:r w:rsidRPr="00276A15">
        <w:rPr>
          <w:rFonts w:ascii="Arial" w:hAnsi="Arial" w:cs="Arial"/>
          <w:b/>
          <w:szCs w:val="24"/>
          <w:lang w:eastAsia="en-US"/>
        </w:rPr>
        <w:t>.</w:t>
      </w:r>
      <w:r>
        <w:rPr>
          <w:rFonts w:ascii="Arial" w:hAnsi="Arial" w:cs="Arial"/>
          <w:b/>
          <w:szCs w:val="24"/>
          <w:lang w:eastAsia="en-US"/>
        </w:rPr>
        <w:t>Mr M Hlengwa</w:t>
      </w:r>
      <w:r w:rsidRPr="00276A15">
        <w:rPr>
          <w:rFonts w:ascii="Arial" w:hAnsi="Arial" w:cs="Arial"/>
          <w:b/>
          <w:szCs w:val="24"/>
          <w:lang w:eastAsia="en-US"/>
        </w:rPr>
        <w:t xml:space="preserve"> (</w:t>
      </w:r>
      <w:r>
        <w:rPr>
          <w:rFonts w:ascii="Arial" w:hAnsi="Arial" w:cs="Arial"/>
          <w:b/>
          <w:szCs w:val="24"/>
          <w:lang w:eastAsia="en-US"/>
        </w:rPr>
        <w:t>IFP</w:t>
      </w:r>
      <w:r w:rsidRPr="00276A15">
        <w:rPr>
          <w:rFonts w:ascii="Arial" w:hAnsi="Arial" w:cs="Arial"/>
          <w:b/>
          <w:szCs w:val="24"/>
          <w:lang w:eastAsia="en-US"/>
        </w:rPr>
        <w:t>) to ask the Minister of International Relations and Cooperation:</w:t>
      </w:r>
    </w:p>
    <w:p w:rsidR="008C10CA" w:rsidRDefault="008C10CA" w:rsidP="008C10CA">
      <w:pPr>
        <w:jc w:val="both"/>
        <w:rPr>
          <w:rFonts w:ascii="Arial" w:hAnsi="Arial" w:cs="Arial"/>
          <w:b/>
          <w:szCs w:val="24"/>
          <w:lang w:eastAsia="en-US"/>
        </w:rPr>
      </w:pPr>
    </w:p>
    <w:p w:rsidR="00B769E5" w:rsidRDefault="008C10CA" w:rsidP="008C10CA">
      <w:pPr>
        <w:tabs>
          <w:tab w:val="center" w:pos="5044"/>
          <w:tab w:val="left" w:pos="9140"/>
        </w:tabs>
        <w:spacing w:before="19" w:line="264" w:lineRule="auto"/>
        <w:ind w:right="18"/>
        <w:rPr>
          <w:rFonts w:ascii="Arial" w:hAnsi="Arial" w:cs="Arial"/>
          <w:b/>
          <w:bCs/>
          <w:szCs w:val="24"/>
          <w:lang w:eastAsia="en-US"/>
        </w:rPr>
      </w:pPr>
      <w:r>
        <w:rPr>
          <w:rFonts w:ascii="Arial" w:hAnsi="Arial" w:cs="Arial"/>
          <w:bCs/>
          <w:szCs w:val="24"/>
          <w:lang w:eastAsia="en-US"/>
        </w:rPr>
        <w:t>What are the full relevant details of the progress made to date on the non – residential accreditation process of her department (details furnished), including the embassies that have been identified for the specified process and breakdown of the savings achieved through the cost – containment measures?</w:t>
      </w:r>
      <w:r>
        <w:rPr>
          <w:rFonts w:ascii="Arial" w:hAnsi="Arial" w:cs="Arial"/>
          <w:bCs/>
          <w:szCs w:val="24"/>
          <w:lang w:eastAsia="en-US"/>
        </w:rPr>
        <w:tab/>
      </w:r>
      <w:r>
        <w:rPr>
          <w:rFonts w:ascii="Arial" w:hAnsi="Arial" w:cs="Arial"/>
          <w:b/>
          <w:szCs w:val="24"/>
          <w:lang w:eastAsia="en-US"/>
        </w:rPr>
        <w:t>NW2058</w:t>
      </w:r>
    </w:p>
    <w:p w:rsidR="00B71C53" w:rsidRDefault="00B71C53" w:rsidP="00315E6B">
      <w:pPr>
        <w:jc w:val="both"/>
        <w:rPr>
          <w:rFonts w:ascii="Arial" w:hAnsi="Arial" w:cs="Arial"/>
          <w:b/>
          <w:szCs w:val="24"/>
          <w:lang w:eastAsia="en-US"/>
        </w:rPr>
      </w:pPr>
    </w:p>
    <w:p w:rsidR="00315E6B" w:rsidRPr="009E048C" w:rsidRDefault="009E18F7" w:rsidP="00315E6B">
      <w:pPr>
        <w:jc w:val="both"/>
        <w:rPr>
          <w:rFonts w:ascii="Arial" w:hAnsi="Arial" w:cs="Arial"/>
          <w:bCs/>
          <w:i/>
          <w:szCs w:val="24"/>
          <w:lang w:eastAsia="en-US"/>
        </w:rPr>
      </w:pPr>
      <w:r w:rsidRPr="00E325C5">
        <w:rPr>
          <w:rFonts w:ascii="Arial" w:hAnsi="Arial" w:cs="Arial"/>
          <w:b/>
          <w:szCs w:val="24"/>
          <w:lang w:eastAsia="en-US"/>
        </w:rPr>
        <w:t>REPLY</w:t>
      </w:r>
    </w:p>
    <w:p w:rsidR="00315E6B" w:rsidRDefault="00315E6B" w:rsidP="00315E6B">
      <w:pPr>
        <w:jc w:val="both"/>
        <w:rPr>
          <w:rFonts w:ascii="Arial" w:hAnsi="Arial" w:cs="Arial"/>
          <w:b/>
          <w:szCs w:val="24"/>
          <w:lang w:eastAsia="en-US"/>
        </w:rPr>
      </w:pPr>
    </w:p>
    <w:p w:rsidR="0040474A" w:rsidRDefault="002E7025" w:rsidP="00523A12">
      <w:pPr>
        <w:numPr>
          <w:ilvl w:val="0"/>
          <w:numId w:val="15"/>
        </w:numPr>
        <w:jc w:val="both"/>
        <w:rPr>
          <w:rFonts w:ascii="Arial" w:hAnsi="Arial"/>
          <w:bCs/>
          <w:szCs w:val="24"/>
        </w:rPr>
      </w:pPr>
      <w:r>
        <w:rPr>
          <w:rFonts w:ascii="Arial" w:hAnsi="Arial"/>
          <w:bCs/>
          <w:szCs w:val="24"/>
        </w:rPr>
        <w:t>The t</w:t>
      </w:r>
      <w:r w:rsidR="00B71C53" w:rsidRPr="00B71C53">
        <w:rPr>
          <w:rFonts w:ascii="Arial" w:hAnsi="Arial"/>
          <w:bCs/>
          <w:szCs w:val="24"/>
        </w:rPr>
        <w:t xml:space="preserve">en Missions </w:t>
      </w:r>
      <w:r>
        <w:rPr>
          <w:rFonts w:ascii="Arial" w:hAnsi="Arial"/>
          <w:bCs/>
          <w:szCs w:val="24"/>
        </w:rPr>
        <w:t xml:space="preserve">identified </w:t>
      </w:r>
      <w:r w:rsidR="00B71C53" w:rsidRPr="00B71C53">
        <w:rPr>
          <w:rFonts w:ascii="Arial" w:hAnsi="Arial"/>
          <w:bCs/>
          <w:szCs w:val="24"/>
        </w:rPr>
        <w:t>for closure</w:t>
      </w:r>
      <w:r>
        <w:rPr>
          <w:rFonts w:ascii="Arial" w:hAnsi="Arial"/>
          <w:bCs/>
          <w:szCs w:val="24"/>
        </w:rPr>
        <w:t xml:space="preserve">, and subsequently </w:t>
      </w:r>
      <w:r w:rsidR="00B71C53" w:rsidRPr="00B71C53">
        <w:rPr>
          <w:rFonts w:ascii="Arial" w:hAnsi="Arial"/>
          <w:bCs/>
          <w:szCs w:val="24"/>
        </w:rPr>
        <w:t xml:space="preserve">closed in 2021 included the following: </w:t>
      </w:r>
    </w:p>
    <w:p w:rsidR="0040474A" w:rsidRDefault="0040474A" w:rsidP="00B71C53">
      <w:pPr>
        <w:tabs>
          <w:tab w:val="num" w:pos="2280"/>
        </w:tabs>
        <w:jc w:val="both"/>
        <w:rPr>
          <w:rFonts w:ascii="Arial" w:hAnsi="Arial"/>
          <w:bCs/>
          <w:szCs w:val="24"/>
        </w:rPr>
      </w:pP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Representative Office in Minsk (Belarus)</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Embassy in the Holy See (The Vatican)</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Embassy in Port of Spain (Trinidad and Tobago)</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Embassy in Helsinki (Finland)</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Consulate-General in Milan (Italy)</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Embassy in Muscat (Oman)</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High Commission in Suva (Fiji)</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Embassy in Bucharest (Romania)</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Embassy in Lima (Peru)</w:t>
      </w:r>
    </w:p>
    <w:p w:rsidR="0040474A" w:rsidRPr="0040474A" w:rsidRDefault="0040474A" w:rsidP="00523A12">
      <w:pPr>
        <w:numPr>
          <w:ilvl w:val="0"/>
          <w:numId w:val="23"/>
        </w:numPr>
        <w:spacing w:after="200" w:line="276" w:lineRule="auto"/>
        <w:contextualSpacing/>
        <w:jc w:val="both"/>
        <w:rPr>
          <w:rFonts w:ascii="Arial" w:hAnsi="Arial" w:cs="Arial"/>
        </w:rPr>
      </w:pPr>
      <w:r w:rsidRPr="0040474A">
        <w:rPr>
          <w:rFonts w:ascii="Arial" w:hAnsi="Arial" w:cs="Arial"/>
        </w:rPr>
        <w:t>SA Consulate-General in Chicago (USA)</w:t>
      </w:r>
    </w:p>
    <w:p w:rsidR="0040474A" w:rsidRDefault="0040474A" w:rsidP="00B71C53">
      <w:pPr>
        <w:tabs>
          <w:tab w:val="num" w:pos="2280"/>
        </w:tabs>
        <w:jc w:val="both"/>
        <w:rPr>
          <w:rFonts w:ascii="Arial" w:hAnsi="Arial" w:cs="Arial"/>
          <w:szCs w:val="24"/>
        </w:rPr>
      </w:pPr>
    </w:p>
    <w:p w:rsidR="00523A12" w:rsidRDefault="00B71C53" w:rsidP="00523A12">
      <w:pPr>
        <w:numPr>
          <w:ilvl w:val="0"/>
          <w:numId w:val="15"/>
        </w:numPr>
        <w:jc w:val="both"/>
        <w:rPr>
          <w:rFonts w:ascii="Arial" w:hAnsi="Arial" w:cs="Arial"/>
          <w:bCs/>
          <w:szCs w:val="24"/>
        </w:rPr>
      </w:pPr>
      <w:r w:rsidRPr="00B71C53">
        <w:rPr>
          <w:rFonts w:ascii="Arial" w:hAnsi="Arial" w:cs="Arial"/>
          <w:szCs w:val="24"/>
        </w:rPr>
        <w:t xml:space="preserve">The process of closure of these </w:t>
      </w:r>
      <w:r w:rsidR="0040474A">
        <w:rPr>
          <w:rFonts w:ascii="Arial" w:hAnsi="Arial" w:cs="Arial"/>
          <w:szCs w:val="24"/>
        </w:rPr>
        <w:t xml:space="preserve">diplomatic </w:t>
      </w:r>
      <w:r w:rsidRPr="00B71C53">
        <w:rPr>
          <w:rFonts w:ascii="Arial" w:hAnsi="Arial" w:cs="Arial"/>
          <w:szCs w:val="24"/>
        </w:rPr>
        <w:t>Missions included both political engagements with the host countries as well as official Diplomatic communication, and facilitation of the change of diplomatic and, civic, immigration and consular accreditation, to new non-resident countries.</w:t>
      </w:r>
    </w:p>
    <w:p w:rsidR="00523A12" w:rsidRDefault="00523A12" w:rsidP="00523A12">
      <w:pPr>
        <w:ind w:left="720"/>
        <w:jc w:val="both"/>
        <w:rPr>
          <w:rFonts w:ascii="Arial" w:hAnsi="Arial" w:cs="Arial"/>
          <w:bCs/>
          <w:szCs w:val="24"/>
        </w:rPr>
      </w:pPr>
    </w:p>
    <w:p w:rsidR="00523A12" w:rsidRDefault="00B71C53" w:rsidP="00523A12">
      <w:pPr>
        <w:numPr>
          <w:ilvl w:val="0"/>
          <w:numId w:val="15"/>
        </w:numPr>
        <w:jc w:val="both"/>
        <w:rPr>
          <w:rFonts w:ascii="Arial" w:hAnsi="Arial" w:cs="Arial"/>
          <w:bCs/>
          <w:szCs w:val="24"/>
        </w:rPr>
      </w:pPr>
      <w:r w:rsidRPr="00523A12">
        <w:rPr>
          <w:rFonts w:ascii="Arial" w:hAnsi="Arial"/>
          <w:bCs/>
          <w:szCs w:val="24"/>
        </w:rPr>
        <w:t>Formal requests for non-residential accreditation and concurrence were submitted to 25 countries and organisations, which all have their own interna</w:t>
      </w:r>
      <w:r w:rsidR="0040474A" w:rsidRPr="00523A12">
        <w:rPr>
          <w:rFonts w:ascii="Arial" w:hAnsi="Arial"/>
          <w:bCs/>
          <w:szCs w:val="24"/>
        </w:rPr>
        <w:t>l</w:t>
      </w:r>
      <w:r w:rsidRPr="00523A12">
        <w:rPr>
          <w:rFonts w:ascii="Arial" w:hAnsi="Arial"/>
          <w:bCs/>
          <w:szCs w:val="24"/>
        </w:rPr>
        <w:t xml:space="preserve"> processes and procedures pertaining to accreditation.</w:t>
      </w:r>
      <w:r w:rsidR="00523A12">
        <w:rPr>
          <w:rFonts w:ascii="Arial" w:hAnsi="Arial"/>
          <w:bCs/>
          <w:szCs w:val="24"/>
        </w:rPr>
        <w:t xml:space="preserve"> </w:t>
      </w:r>
      <w:r w:rsidR="0040474A" w:rsidRPr="00523A12">
        <w:rPr>
          <w:rFonts w:ascii="Arial" w:hAnsi="Arial"/>
          <w:bCs/>
          <w:szCs w:val="24"/>
        </w:rPr>
        <w:t xml:space="preserve">The finalisation of non-residential accreditation of seven countries </w:t>
      </w:r>
      <w:r w:rsidR="009C2186" w:rsidRPr="00523A12">
        <w:rPr>
          <w:rFonts w:ascii="Arial" w:hAnsi="Arial"/>
          <w:bCs/>
          <w:szCs w:val="24"/>
        </w:rPr>
        <w:t>is still in process</w:t>
      </w:r>
      <w:r w:rsidR="0040474A" w:rsidRPr="00523A12">
        <w:rPr>
          <w:rFonts w:ascii="Arial" w:hAnsi="Arial"/>
          <w:bCs/>
          <w:szCs w:val="24"/>
        </w:rPr>
        <w:t xml:space="preserve">.  </w:t>
      </w:r>
    </w:p>
    <w:p w:rsidR="00523A12" w:rsidRDefault="00523A12" w:rsidP="00523A12">
      <w:pPr>
        <w:pStyle w:val="ListParagraph"/>
        <w:rPr>
          <w:rFonts w:ascii="Arial" w:hAnsi="Arial" w:cs="Arial"/>
          <w:szCs w:val="24"/>
        </w:rPr>
      </w:pPr>
    </w:p>
    <w:p w:rsidR="00B71C53" w:rsidRPr="00523A12" w:rsidRDefault="00B71C53" w:rsidP="00523A12">
      <w:pPr>
        <w:numPr>
          <w:ilvl w:val="0"/>
          <w:numId w:val="15"/>
        </w:numPr>
        <w:jc w:val="both"/>
        <w:rPr>
          <w:rFonts w:ascii="Arial" w:hAnsi="Arial" w:cs="Arial"/>
          <w:bCs/>
          <w:szCs w:val="24"/>
        </w:rPr>
      </w:pPr>
      <w:r w:rsidRPr="00523A12">
        <w:rPr>
          <w:rFonts w:ascii="Arial" w:hAnsi="Arial" w:cs="Arial"/>
          <w:szCs w:val="24"/>
        </w:rPr>
        <w:t xml:space="preserve">The </w:t>
      </w:r>
      <w:r w:rsidR="0040474A" w:rsidRPr="00523A12">
        <w:rPr>
          <w:rFonts w:ascii="Arial" w:hAnsi="Arial" w:cs="Arial"/>
          <w:szCs w:val="24"/>
        </w:rPr>
        <w:t>s</w:t>
      </w:r>
      <w:r w:rsidRPr="00523A12">
        <w:rPr>
          <w:rFonts w:ascii="Arial" w:hAnsi="Arial" w:cs="Arial"/>
          <w:szCs w:val="24"/>
        </w:rPr>
        <w:t xml:space="preserve">avings from the closure of these 10 Missions are reflected as follows: </w:t>
      </w:r>
    </w:p>
    <w:p w:rsidR="00B71C53" w:rsidRPr="00B71C53" w:rsidRDefault="00B71C53" w:rsidP="00B71C53">
      <w:pPr>
        <w:spacing w:line="276" w:lineRule="auto"/>
        <w:ind w:left="1287"/>
        <w:jc w:val="both"/>
        <w:rPr>
          <w:rFonts w:ascii="Arial" w:hAnsi="Arial" w:cs="Arial"/>
          <w:szCs w:val="24"/>
        </w:rPr>
      </w:pPr>
    </w:p>
    <w:p w:rsidR="00523A12" w:rsidRDefault="00B71C53" w:rsidP="00523A12">
      <w:pPr>
        <w:numPr>
          <w:ilvl w:val="0"/>
          <w:numId w:val="25"/>
        </w:numPr>
        <w:jc w:val="both"/>
        <w:rPr>
          <w:rFonts w:ascii="Arial" w:hAnsi="Arial" w:cs="Arial"/>
          <w:bCs/>
          <w:szCs w:val="24"/>
        </w:rPr>
      </w:pPr>
      <w:r w:rsidRPr="00B71C53">
        <w:rPr>
          <w:rFonts w:ascii="Arial" w:hAnsi="Arial" w:cs="Arial"/>
          <w:bCs/>
          <w:szCs w:val="24"/>
        </w:rPr>
        <w:t xml:space="preserve">2021/2022 Financial Year: Savings of ZAR 71 729 878 </w:t>
      </w:r>
      <w:r w:rsidR="0040474A">
        <w:rPr>
          <w:rFonts w:ascii="Arial" w:hAnsi="Arial" w:cs="Arial"/>
          <w:bCs/>
          <w:szCs w:val="24"/>
        </w:rPr>
        <w:t>(</w:t>
      </w:r>
      <w:r w:rsidRPr="00B71C53">
        <w:rPr>
          <w:rFonts w:ascii="Arial" w:hAnsi="Arial" w:cs="Arial"/>
          <w:bCs/>
          <w:szCs w:val="24"/>
        </w:rPr>
        <w:t>following the deduction of costs related to the closure process</w:t>
      </w:r>
      <w:r w:rsidR="0040474A">
        <w:rPr>
          <w:rFonts w:ascii="Arial" w:hAnsi="Arial" w:cs="Arial"/>
          <w:bCs/>
          <w:szCs w:val="24"/>
        </w:rPr>
        <w:t>).</w:t>
      </w:r>
    </w:p>
    <w:p w:rsidR="00523A12" w:rsidRDefault="00523A12" w:rsidP="00523A12">
      <w:pPr>
        <w:ind w:left="1080"/>
        <w:jc w:val="both"/>
        <w:rPr>
          <w:rFonts w:ascii="Arial" w:hAnsi="Arial" w:cs="Arial"/>
          <w:bCs/>
          <w:szCs w:val="24"/>
        </w:rPr>
      </w:pPr>
    </w:p>
    <w:p w:rsidR="00750702" w:rsidRPr="00523A12" w:rsidRDefault="00B71C53" w:rsidP="00523A12">
      <w:pPr>
        <w:numPr>
          <w:ilvl w:val="0"/>
          <w:numId w:val="25"/>
        </w:numPr>
        <w:jc w:val="both"/>
        <w:rPr>
          <w:rFonts w:ascii="Arial" w:hAnsi="Arial" w:cs="Arial"/>
          <w:bCs/>
          <w:szCs w:val="24"/>
        </w:rPr>
      </w:pPr>
      <w:r w:rsidRPr="00523A12">
        <w:rPr>
          <w:rFonts w:ascii="Arial" w:hAnsi="Arial" w:cs="Arial"/>
          <w:bCs/>
          <w:szCs w:val="24"/>
        </w:rPr>
        <w:t xml:space="preserve">2022/2023 Financial Year and beyond: anticiaped savings of ZAR 161 620 546 per annum. </w:t>
      </w: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8C10CA" w:rsidRDefault="008C10CA"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40474A" w:rsidRDefault="0040474A"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F0262E" w:rsidRDefault="00F0262E" w:rsidP="00B67AED">
      <w:pPr>
        <w:jc w:val="both"/>
        <w:rPr>
          <w:rFonts w:ascii="Arial" w:hAnsi="Arial" w:cs="Arial"/>
          <w:b/>
          <w:bCs/>
          <w:szCs w:val="24"/>
          <w:lang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sectPr w:rsidR="00B67AED"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2B" w:rsidRDefault="005B6C2B">
      <w:r>
        <w:separator/>
      </w:r>
    </w:p>
  </w:endnote>
  <w:endnote w:type="continuationSeparator" w:id="0">
    <w:p w:rsidR="005B6C2B" w:rsidRDefault="005B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B6C2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2B" w:rsidRDefault="005B6C2B">
      <w:r>
        <w:separator/>
      </w:r>
    </w:p>
  </w:footnote>
  <w:footnote w:type="continuationSeparator" w:id="0">
    <w:p w:rsidR="005B6C2B" w:rsidRDefault="005B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A6E"/>
    <w:multiLevelType w:val="multilevel"/>
    <w:tmpl w:val="76CC02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A23B86"/>
    <w:multiLevelType w:val="hybridMultilevel"/>
    <w:tmpl w:val="7C2AC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F584663"/>
    <w:multiLevelType w:val="hybridMultilevel"/>
    <w:tmpl w:val="B0261986"/>
    <w:lvl w:ilvl="0" w:tplc="6CB839A8">
      <w:start w:val="1"/>
      <w:numFmt w:val="lowerLetter"/>
      <w:lvlText w:val="(%1)"/>
      <w:lvlJc w:val="left"/>
      <w:pPr>
        <w:ind w:left="2203" w:hanging="360"/>
      </w:pPr>
      <w:rPr>
        <w:rFonts w:ascii="Arial" w:eastAsia="Times New Roman" w:hAnsi="Arial" w:cs="Arial"/>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4">
    <w:nsid w:val="113E2296"/>
    <w:multiLevelType w:val="multilevel"/>
    <w:tmpl w:val="53CE59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6">
    <w:nsid w:val="1D5D2252"/>
    <w:multiLevelType w:val="hybridMultilevel"/>
    <w:tmpl w:val="CDD0198A"/>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7">
    <w:nsid w:val="2F4D538A"/>
    <w:multiLevelType w:val="singleLevel"/>
    <w:tmpl w:val="0409000F"/>
    <w:lvl w:ilvl="0">
      <w:start w:val="1"/>
      <w:numFmt w:val="decimal"/>
      <w:lvlText w:val="%1."/>
      <w:lvlJc w:val="left"/>
      <w:pPr>
        <w:tabs>
          <w:tab w:val="num" w:pos="360"/>
        </w:tabs>
        <w:ind w:left="360" w:hanging="360"/>
      </w:pPr>
    </w:lvl>
  </w:abstractNum>
  <w:abstractNum w:abstractNumId="8">
    <w:nsid w:val="35A64D52"/>
    <w:multiLevelType w:val="hybridMultilevel"/>
    <w:tmpl w:val="44DC3936"/>
    <w:lvl w:ilvl="0" w:tplc="5F40AA60">
      <w:start w:val="1"/>
      <w:numFmt w:val="decimal"/>
      <w:lvlText w:val="(%1)"/>
      <w:lvlJc w:val="left"/>
      <w:pPr>
        <w:ind w:left="744" w:hanging="384"/>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417E3EDC"/>
    <w:multiLevelType w:val="hybridMultilevel"/>
    <w:tmpl w:val="85E2BD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4BA437C"/>
    <w:multiLevelType w:val="hybridMultilevel"/>
    <w:tmpl w:val="25FA4D1A"/>
    <w:lvl w:ilvl="0" w:tplc="969C7B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4D969D8"/>
    <w:multiLevelType w:val="hybridMultilevel"/>
    <w:tmpl w:val="40707A4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49D36F76"/>
    <w:multiLevelType w:val="hybridMultilevel"/>
    <w:tmpl w:val="7C925E2C"/>
    <w:lvl w:ilvl="0" w:tplc="71065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6B2321"/>
    <w:multiLevelType w:val="multilevel"/>
    <w:tmpl w:val="783044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2280"/>
        </w:tabs>
        <w:ind w:left="2280" w:hanging="720"/>
      </w:pPr>
      <w:rPr>
        <w:rFonts w:hint="default"/>
        <w:b w:val="0"/>
        <w:bCs w:val="0"/>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584C34DE"/>
    <w:multiLevelType w:val="hybridMultilevel"/>
    <w:tmpl w:val="AC722B8E"/>
    <w:lvl w:ilvl="0" w:tplc="1C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10F4830"/>
    <w:multiLevelType w:val="singleLevel"/>
    <w:tmpl w:val="0409000F"/>
    <w:lvl w:ilvl="0">
      <w:start w:val="1"/>
      <w:numFmt w:val="decimal"/>
      <w:lvlText w:val="%1."/>
      <w:lvlJc w:val="left"/>
      <w:pPr>
        <w:tabs>
          <w:tab w:val="num" w:pos="360"/>
        </w:tabs>
        <w:ind w:left="360" w:hanging="360"/>
      </w:pPr>
    </w:lvl>
  </w:abstractNum>
  <w:abstractNum w:abstractNumId="2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3">
    <w:nsid w:val="73A67733"/>
    <w:multiLevelType w:val="hybridMultilevel"/>
    <w:tmpl w:val="D2E63742"/>
    <w:lvl w:ilvl="0" w:tplc="5DDAF7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48E4FC7"/>
    <w:multiLevelType w:val="multilevel"/>
    <w:tmpl w:val="783044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2280"/>
        </w:tabs>
        <w:ind w:left="2280" w:hanging="720"/>
      </w:pPr>
      <w:rPr>
        <w:rFonts w:hint="default"/>
        <w:b w:val="0"/>
        <w:bCs w:val="0"/>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0"/>
  </w:num>
  <w:num w:numId="3">
    <w:abstractNumId w:val="5"/>
  </w:num>
  <w:num w:numId="4">
    <w:abstractNumId w:val="21"/>
  </w:num>
  <w:num w:numId="5">
    <w:abstractNumId w:val="22"/>
  </w:num>
  <w:num w:numId="6">
    <w:abstractNumId w:val="19"/>
  </w:num>
  <w:num w:numId="7">
    <w:abstractNumId w:val="7"/>
  </w:num>
  <w:num w:numId="8">
    <w:abstractNumId w:val="9"/>
  </w:num>
  <w:num w:numId="9">
    <w:abstractNumId w:val="1"/>
  </w:num>
  <w:num w:numId="10">
    <w:abstractNumId w:val="11"/>
  </w:num>
  <w:num w:numId="11">
    <w:abstractNumId w:val="2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6"/>
  </w:num>
  <w:num w:numId="17">
    <w:abstractNumId w:val="18"/>
  </w:num>
  <w:num w:numId="18">
    <w:abstractNumId w:val="0"/>
  </w:num>
  <w:num w:numId="19">
    <w:abstractNumId w:val="24"/>
  </w:num>
  <w:num w:numId="20">
    <w:abstractNumId w:val="2"/>
  </w:num>
  <w:num w:numId="21">
    <w:abstractNumId w:val="4"/>
  </w:num>
  <w:num w:numId="22">
    <w:abstractNumId w:val="10"/>
  </w:num>
  <w:num w:numId="23">
    <w:abstractNumId w:val="23"/>
  </w:num>
  <w:num w:numId="24">
    <w:abstractNumId w:val="3"/>
  </w:num>
  <w:num w:numId="25">
    <w:abstractNumId w:val="1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066B7"/>
    <w:rsid w:val="00007E2F"/>
    <w:rsid w:val="00023A15"/>
    <w:rsid w:val="00032FDC"/>
    <w:rsid w:val="00046E8E"/>
    <w:rsid w:val="00053CA9"/>
    <w:rsid w:val="000612E3"/>
    <w:rsid w:val="00063D28"/>
    <w:rsid w:val="00063FAE"/>
    <w:rsid w:val="00066572"/>
    <w:rsid w:val="00080DEB"/>
    <w:rsid w:val="00083136"/>
    <w:rsid w:val="000C68EB"/>
    <w:rsid w:val="000E1090"/>
    <w:rsid w:val="000F1CE7"/>
    <w:rsid w:val="000F419D"/>
    <w:rsid w:val="000F4994"/>
    <w:rsid w:val="00116771"/>
    <w:rsid w:val="001234C0"/>
    <w:rsid w:val="0012737E"/>
    <w:rsid w:val="0013258A"/>
    <w:rsid w:val="0013274C"/>
    <w:rsid w:val="00144BB0"/>
    <w:rsid w:val="00146161"/>
    <w:rsid w:val="00164C55"/>
    <w:rsid w:val="00177034"/>
    <w:rsid w:val="001848D8"/>
    <w:rsid w:val="001B3BD9"/>
    <w:rsid w:val="001D289F"/>
    <w:rsid w:val="001E1738"/>
    <w:rsid w:val="001E18E7"/>
    <w:rsid w:val="001F55FF"/>
    <w:rsid w:val="00200124"/>
    <w:rsid w:val="0020753C"/>
    <w:rsid w:val="00210837"/>
    <w:rsid w:val="00216EF4"/>
    <w:rsid w:val="00220D12"/>
    <w:rsid w:val="0025188D"/>
    <w:rsid w:val="00256B64"/>
    <w:rsid w:val="00261B61"/>
    <w:rsid w:val="00283374"/>
    <w:rsid w:val="00283962"/>
    <w:rsid w:val="00292D62"/>
    <w:rsid w:val="002B61A5"/>
    <w:rsid w:val="002C6677"/>
    <w:rsid w:val="002D2E72"/>
    <w:rsid w:val="002D3DA3"/>
    <w:rsid w:val="002E0388"/>
    <w:rsid w:val="002E1249"/>
    <w:rsid w:val="002E7025"/>
    <w:rsid w:val="002F3C32"/>
    <w:rsid w:val="00315E6B"/>
    <w:rsid w:val="00335DBB"/>
    <w:rsid w:val="003677F8"/>
    <w:rsid w:val="003E3BDA"/>
    <w:rsid w:val="003E3DFD"/>
    <w:rsid w:val="0040162B"/>
    <w:rsid w:val="004036E9"/>
    <w:rsid w:val="0040394F"/>
    <w:rsid w:val="0040474A"/>
    <w:rsid w:val="00407854"/>
    <w:rsid w:val="00407AE4"/>
    <w:rsid w:val="00416C2A"/>
    <w:rsid w:val="004228C9"/>
    <w:rsid w:val="004338BC"/>
    <w:rsid w:val="00435163"/>
    <w:rsid w:val="00437092"/>
    <w:rsid w:val="00440E32"/>
    <w:rsid w:val="004439AE"/>
    <w:rsid w:val="00447480"/>
    <w:rsid w:val="00454B49"/>
    <w:rsid w:val="004616E6"/>
    <w:rsid w:val="004B30FF"/>
    <w:rsid w:val="004E5678"/>
    <w:rsid w:val="00512C62"/>
    <w:rsid w:val="005175F8"/>
    <w:rsid w:val="00523A12"/>
    <w:rsid w:val="005441D7"/>
    <w:rsid w:val="005619FE"/>
    <w:rsid w:val="00563B20"/>
    <w:rsid w:val="005A6EF0"/>
    <w:rsid w:val="005A7430"/>
    <w:rsid w:val="005B0F98"/>
    <w:rsid w:val="005B6C2B"/>
    <w:rsid w:val="005B6D71"/>
    <w:rsid w:val="005E0F1B"/>
    <w:rsid w:val="006021C0"/>
    <w:rsid w:val="00605E7A"/>
    <w:rsid w:val="0062619B"/>
    <w:rsid w:val="0063685C"/>
    <w:rsid w:val="00657180"/>
    <w:rsid w:val="00667736"/>
    <w:rsid w:val="00686795"/>
    <w:rsid w:val="006D4982"/>
    <w:rsid w:val="006F0B15"/>
    <w:rsid w:val="00710792"/>
    <w:rsid w:val="00713FF1"/>
    <w:rsid w:val="00716B9C"/>
    <w:rsid w:val="00717881"/>
    <w:rsid w:val="00717D6C"/>
    <w:rsid w:val="00726763"/>
    <w:rsid w:val="007279EE"/>
    <w:rsid w:val="00733A48"/>
    <w:rsid w:val="00750702"/>
    <w:rsid w:val="0075612D"/>
    <w:rsid w:val="007579D7"/>
    <w:rsid w:val="007A2761"/>
    <w:rsid w:val="007B43DF"/>
    <w:rsid w:val="007C5820"/>
    <w:rsid w:val="007C771B"/>
    <w:rsid w:val="007F376E"/>
    <w:rsid w:val="0080310F"/>
    <w:rsid w:val="00806878"/>
    <w:rsid w:val="008110DB"/>
    <w:rsid w:val="00812046"/>
    <w:rsid w:val="00831D6D"/>
    <w:rsid w:val="008472B5"/>
    <w:rsid w:val="00861743"/>
    <w:rsid w:val="00863CC6"/>
    <w:rsid w:val="00867257"/>
    <w:rsid w:val="008851B4"/>
    <w:rsid w:val="00890EFB"/>
    <w:rsid w:val="00896F7D"/>
    <w:rsid w:val="008A5D1B"/>
    <w:rsid w:val="008C10CA"/>
    <w:rsid w:val="008D1DD2"/>
    <w:rsid w:val="008E46AE"/>
    <w:rsid w:val="008E750A"/>
    <w:rsid w:val="0091779A"/>
    <w:rsid w:val="00920CC8"/>
    <w:rsid w:val="0092638F"/>
    <w:rsid w:val="0095313F"/>
    <w:rsid w:val="0096197C"/>
    <w:rsid w:val="00973660"/>
    <w:rsid w:val="009A60DE"/>
    <w:rsid w:val="009B059C"/>
    <w:rsid w:val="009C2186"/>
    <w:rsid w:val="009C242A"/>
    <w:rsid w:val="009C7DAF"/>
    <w:rsid w:val="009E048C"/>
    <w:rsid w:val="009E18F7"/>
    <w:rsid w:val="009E32F0"/>
    <w:rsid w:val="00A05EC1"/>
    <w:rsid w:val="00A24CB2"/>
    <w:rsid w:val="00A27496"/>
    <w:rsid w:val="00A30027"/>
    <w:rsid w:val="00A706E9"/>
    <w:rsid w:val="00A729C2"/>
    <w:rsid w:val="00AA5352"/>
    <w:rsid w:val="00AA5BD0"/>
    <w:rsid w:val="00AC660C"/>
    <w:rsid w:val="00AC75CB"/>
    <w:rsid w:val="00AC7D25"/>
    <w:rsid w:val="00AE5D89"/>
    <w:rsid w:val="00AE67FC"/>
    <w:rsid w:val="00AF1948"/>
    <w:rsid w:val="00AF359F"/>
    <w:rsid w:val="00AF50A2"/>
    <w:rsid w:val="00AF5888"/>
    <w:rsid w:val="00B05C79"/>
    <w:rsid w:val="00B14C58"/>
    <w:rsid w:val="00B25FA1"/>
    <w:rsid w:val="00B27ED4"/>
    <w:rsid w:val="00B328E8"/>
    <w:rsid w:val="00B67AED"/>
    <w:rsid w:val="00B71C53"/>
    <w:rsid w:val="00B75715"/>
    <w:rsid w:val="00B769E5"/>
    <w:rsid w:val="00B81D16"/>
    <w:rsid w:val="00B95B28"/>
    <w:rsid w:val="00BA5801"/>
    <w:rsid w:val="00BB1359"/>
    <w:rsid w:val="00BD18F1"/>
    <w:rsid w:val="00BD7AC5"/>
    <w:rsid w:val="00BF75C1"/>
    <w:rsid w:val="00C0243A"/>
    <w:rsid w:val="00C06ABB"/>
    <w:rsid w:val="00C11D75"/>
    <w:rsid w:val="00C24380"/>
    <w:rsid w:val="00C24417"/>
    <w:rsid w:val="00C30528"/>
    <w:rsid w:val="00C35053"/>
    <w:rsid w:val="00C36227"/>
    <w:rsid w:val="00C777EE"/>
    <w:rsid w:val="00C8281E"/>
    <w:rsid w:val="00C875D2"/>
    <w:rsid w:val="00CA039D"/>
    <w:rsid w:val="00CA4C2E"/>
    <w:rsid w:val="00CB24A4"/>
    <w:rsid w:val="00CB2D3E"/>
    <w:rsid w:val="00CE54A3"/>
    <w:rsid w:val="00CF622C"/>
    <w:rsid w:val="00D001C5"/>
    <w:rsid w:val="00D02477"/>
    <w:rsid w:val="00D12357"/>
    <w:rsid w:val="00D42050"/>
    <w:rsid w:val="00D57252"/>
    <w:rsid w:val="00D7271D"/>
    <w:rsid w:val="00D737CC"/>
    <w:rsid w:val="00D9582C"/>
    <w:rsid w:val="00D96CFC"/>
    <w:rsid w:val="00DA5CBC"/>
    <w:rsid w:val="00DE68CC"/>
    <w:rsid w:val="00DE774E"/>
    <w:rsid w:val="00E14A76"/>
    <w:rsid w:val="00E23DD3"/>
    <w:rsid w:val="00E325C5"/>
    <w:rsid w:val="00E3480D"/>
    <w:rsid w:val="00E5478C"/>
    <w:rsid w:val="00E60D8B"/>
    <w:rsid w:val="00E7386C"/>
    <w:rsid w:val="00E75515"/>
    <w:rsid w:val="00E77DAE"/>
    <w:rsid w:val="00E83E05"/>
    <w:rsid w:val="00E86F77"/>
    <w:rsid w:val="00E92A27"/>
    <w:rsid w:val="00EA2BB1"/>
    <w:rsid w:val="00EB3792"/>
    <w:rsid w:val="00EB3A06"/>
    <w:rsid w:val="00EC1425"/>
    <w:rsid w:val="00ED12C6"/>
    <w:rsid w:val="00EF28A7"/>
    <w:rsid w:val="00EF329A"/>
    <w:rsid w:val="00F0262E"/>
    <w:rsid w:val="00F26F24"/>
    <w:rsid w:val="00F35517"/>
    <w:rsid w:val="00F35C3C"/>
    <w:rsid w:val="00F576DC"/>
    <w:rsid w:val="00F80CB5"/>
    <w:rsid w:val="00F91FD5"/>
    <w:rsid w:val="00F925D3"/>
    <w:rsid w:val="00FD550B"/>
    <w:rsid w:val="00FF3F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table" w:styleId="TableGrid">
    <w:name w:val="Table Grid"/>
    <w:basedOn w:val="TableNormal"/>
    <w:uiPriority w:val="59"/>
    <w:rsid w:val="00B7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411393">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E5160A8C-9977-4F3B-B503-82697472011F}">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2022-05-12T13:36:00Z</cp:lastPrinted>
  <dcterms:created xsi:type="dcterms:W3CDTF">2022-05-18T12:18:00Z</dcterms:created>
  <dcterms:modified xsi:type="dcterms:W3CDTF">2022-05-18T12:18:00Z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