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AF318A">
        <w:rPr>
          <w:rFonts w:cs="Tunga"/>
          <w:b/>
          <w:szCs w:val="24"/>
          <w:lang w:val="en-ZA"/>
        </w:rPr>
        <w:t xml:space="preserve"> 1783</w:t>
      </w:r>
      <w:r w:rsidR="00C21927">
        <w:rPr>
          <w:rFonts w:cs="Tunga"/>
          <w:b/>
          <w:szCs w:val="24"/>
          <w:lang w:val="en-ZA"/>
        </w:rPr>
        <w:t xml:space="preserve"> </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AF318A">
        <w:rPr>
          <w:rFonts w:cs="Tunga"/>
          <w:szCs w:val="24"/>
          <w:lang w:val="en-ZA"/>
        </w:rPr>
        <w:t xml:space="preserve"> Financial Administration</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AF318A" w:rsidP="00CB7801">
      <w:pPr>
        <w:rPr>
          <w:rFonts w:cs="Tunga"/>
          <w:b/>
          <w:szCs w:val="24"/>
          <w:lang w:val="en-ZA"/>
        </w:rPr>
      </w:pPr>
      <w:r>
        <w:rPr>
          <w:rFonts w:cs="Tunga"/>
          <w:b/>
          <w:szCs w:val="24"/>
          <w:lang w:val="en-ZA"/>
        </w:rPr>
        <w:t>Advocate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AF318A">
        <w:rPr>
          <w:rFonts w:ascii="Arial" w:hAnsi="Arial" w:cs="Arial"/>
          <w:b/>
          <w:szCs w:val="24"/>
        </w:rPr>
        <w:t>1728</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AF318A">
        <w:rPr>
          <w:rFonts w:ascii="Arial" w:hAnsi="Arial" w:cs="Arial"/>
          <w:b/>
          <w:szCs w:val="24"/>
        </w:rPr>
        <w:t xml:space="preserve"> NW1934</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AF318A">
        <w:rPr>
          <w:rFonts w:ascii="Arial" w:hAnsi="Arial" w:cs="Arial"/>
          <w:b/>
          <w:szCs w:val="24"/>
        </w:rPr>
        <w:t xml:space="preserve"> 09 June</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AF318A">
        <w:rPr>
          <w:rFonts w:ascii="Arial" w:hAnsi="Arial" w:cs="Arial"/>
          <w:b/>
          <w:szCs w:val="24"/>
        </w:rPr>
        <w:t xml:space="preserve"> 21</w:t>
      </w:r>
    </w:p>
    <w:p w:rsidR="00AF318A" w:rsidRDefault="00AF318A" w:rsidP="00AF318A">
      <w:pPr>
        <w:spacing w:before="100" w:beforeAutospacing="1" w:after="100" w:afterAutospacing="1"/>
        <w:ind w:left="851" w:hanging="851"/>
        <w:outlineLvl w:val="0"/>
        <w:rPr>
          <w:rFonts w:ascii="Times New Roman" w:hAnsi="Times New Roman"/>
          <w:b/>
          <w:szCs w:val="24"/>
          <w:lang w:val="en-ZA"/>
        </w:rPr>
      </w:pPr>
      <w:r>
        <w:rPr>
          <w:rFonts w:ascii="Times New Roman" w:hAnsi="Times New Roman"/>
          <w:b/>
          <w:szCs w:val="24"/>
        </w:rPr>
        <w:t>1728.</w:t>
      </w:r>
      <w:r>
        <w:rPr>
          <w:rFonts w:ascii="Times New Roman" w:hAnsi="Times New Roman"/>
          <w:b/>
          <w:szCs w:val="24"/>
        </w:rPr>
        <w:tab/>
        <w:t>Ms C King (DA) to ask the Minister of Mineral Resources:</w:t>
      </w:r>
    </w:p>
    <w:p w:rsidR="00784604" w:rsidRPr="00DC0AD8" w:rsidRDefault="00AF318A" w:rsidP="00DC0AD8">
      <w:pPr>
        <w:spacing w:before="100" w:beforeAutospacing="1" w:after="100" w:afterAutospacing="1"/>
        <w:ind w:left="851"/>
        <w:rPr>
          <w:rFonts w:ascii="Times New Roman" w:hAnsi="Times New Roman"/>
          <w:szCs w:val="24"/>
          <w:lang w:val="en-ZA"/>
        </w:rPr>
      </w:pPr>
      <w:r>
        <w:rPr>
          <w:rFonts w:ascii="Times New Roman" w:hAnsi="Times New Roman"/>
          <w:szCs w:val="24"/>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Cs w:val="24"/>
          <w:lang w:val="af-ZA"/>
        </w:rPr>
        <w:tab/>
      </w:r>
      <w:r>
        <w:rPr>
          <w:rFonts w:ascii="Times New Roman" w:hAnsi="Times New Roman"/>
          <w:noProof/>
          <w:sz w:val="20"/>
          <w:lang w:val="af-ZA"/>
        </w:rPr>
        <w:t>NW1934E</w:t>
      </w: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tbl>
      <w:tblPr>
        <w:tblStyle w:val="TableGrid2"/>
        <w:tblpPr w:leftFromText="180" w:rightFromText="180" w:vertAnchor="text" w:horzAnchor="margin" w:tblpY="31"/>
        <w:tblW w:w="8630" w:type="dxa"/>
        <w:tblLook w:val="04A0" w:firstRow="1" w:lastRow="0" w:firstColumn="1" w:lastColumn="0" w:noHBand="0" w:noVBand="1"/>
      </w:tblPr>
      <w:tblGrid>
        <w:gridCol w:w="1260"/>
        <w:gridCol w:w="957"/>
        <w:gridCol w:w="2098"/>
        <w:gridCol w:w="2245"/>
        <w:gridCol w:w="2070"/>
      </w:tblGrid>
      <w:tr w:rsidR="00DC0AD8" w:rsidTr="00DE3398">
        <w:trPr>
          <w:trHeight w:val="827"/>
        </w:trPr>
        <w:tc>
          <w:tcPr>
            <w:tcW w:w="8630" w:type="dxa"/>
            <w:gridSpan w:val="5"/>
            <w:shd w:val="clear" w:color="auto" w:fill="FFC000"/>
          </w:tcPr>
          <w:p w:rsidR="00DC0AD8" w:rsidRPr="00DC0AD8" w:rsidRDefault="00DC0AD8" w:rsidP="00033FBA">
            <w:pPr>
              <w:rPr>
                <w:rFonts w:asciiTheme="minorHAnsi" w:hAnsiTheme="minorHAnsi"/>
                <w:sz w:val="20"/>
              </w:rPr>
            </w:pPr>
            <w:r w:rsidRPr="00DC0AD8">
              <w:rPr>
                <w:rFonts w:asciiTheme="minorHAnsi" w:hAnsiTheme="minorHAnsi"/>
                <w:sz w:val="20"/>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r w:rsidRPr="00DC0AD8">
              <w:rPr>
                <w:rFonts w:asciiTheme="minorHAnsi" w:hAnsiTheme="minorHAnsi"/>
                <w:sz w:val="20"/>
              </w:rPr>
              <w:tab/>
            </w:r>
          </w:p>
        </w:tc>
      </w:tr>
      <w:tr w:rsidR="00DC0AD8" w:rsidRPr="00136EB4" w:rsidTr="00666E53">
        <w:tc>
          <w:tcPr>
            <w:tcW w:w="1260" w:type="dxa"/>
            <w:shd w:val="clear" w:color="auto" w:fill="FF0000"/>
          </w:tcPr>
          <w:p w:rsidR="00DC0AD8" w:rsidRPr="00136EB4" w:rsidRDefault="00DC0AD8" w:rsidP="00033FBA">
            <w:pPr>
              <w:rPr>
                <w:rFonts w:asciiTheme="minorHAnsi" w:hAnsiTheme="minorHAnsi"/>
                <w:sz w:val="20"/>
              </w:rPr>
            </w:pPr>
          </w:p>
        </w:tc>
        <w:tc>
          <w:tcPr>
            <w:tcW w:w="957" w:type="dxa"/>
          </w:tcPr>
          <w:p w:rsidR="00DC0AD8" w:rsidRPr="00136EB4" w:rsidRDefault="00DC0AD8" w:rsidP="00033FBA">
            <w:pPr>
              <w:rPr>
                <w:rFonts w:asciiTheme="minorHAnsi" w:hAnsiTheme="minorHAnsi"/>
                <w:sz w:val="20"/>
              </w:rPr>
            </w:pPr>
          </w:p>
        </w:tc>
        <w:tc>
          <w:tcPr>
            <w:tcW w:w="2098" w:type="dxa"/>
          </w:tcPr>
          <w:p w:rsidR="00DC0AD8" w:rsidRPr="00211096" w:rsidRDefault="00DC0AD8" w:rsidP="00033FBA">
            <w:pPr>
              <w:rPr>
                <w:rFonts w:asciiTheme="minorHAnsi" w:hAnsiTheme="minorHAnsi"/>
                <w:sz w:val="20"/>
              </w:rPr>
            </w:pPr>
            <w:r w:rsidRPr="00211096">
              <w:rPr>
                <w:rFonts w:asciiTheme="minorHAnsi" w:hAnsiTheme="minorHAnsi"/>
                <w:sz w:val="20"/>
              </w:rPr>
              <w:t>(i)</w:t>
            </w:r>
          </w:p>
        </w:tc>
        <w:tc>
          <w:tcPr>
            <w:tcW w:w="2245" w:type="dxa"/>
          </w:tcPr>
          <w:p w:rsidR="00DC0AD8" w:rsidRPr="00211096" w:rsidRDefault="00DC0AD8" w:rsidP="00033FBA">
            <w:pPr>
              <w:rPr>
                <w:rFonts w:asciiTheme="minorHAnsi" w:hAnsiTheme="minorHAnsi"/>
                <w:sz w:val="20"/>
              </w:rPr>
            </w:pPr>
            <w:r w:rsidRPr="00211096">
              <w:rPr>
                <w:rFonts w:asciiTheme="minorHAnsi" w:hAnsiTheme="minorHAnsi"/>
                <w:sz w:val="20"/>
              </w:rPr>
              <w:t>(ii)</w:t>
            </w:r>
          </w:p>
        </w:tc>
        <w:tc>
          <w:tcPr>
            <w:tcW w:w="2070" w:type="dxa"/>
          </w:tcPr>
          <w:p w:rsidR="00DC0AD8" w:rsidRPr="00211096" w:rsidRDefault="00DC0AD8" w:rsidP="00033FBA">
            <w:pPr>
              <w:rPr>
                <w:rFonts w:asciiTheme="minorHAnsi" w:hAnsiTheme="minorHAnsi"/>
                <w:sz w:val="20"/>
              </w:rPr>
            </w:pPr>
            <w:r>
              <w:rPr>
                <w:rFonts w:asciiTheme="minorHAnsi" w:hAnsiTheme="minorHAnsi"/>
                <w:sz w:val="20"/>
              </w:rPr>
              <w:t>(iii)</w:t>
            </w:r>
          </w:p>
        </w:tc>
      </w:tr>
      <w:tr w:rsidR="00666E53" w:rsidRPr="00136EB4" w:rsidTr="00666E53">
        <w:tc>
          <w:tcPr>
            <w:tcW w:w="1260" w:type="dxa"/>
            <w:shd w:val="clear" w:color="auto" w:fill="FF0000"/>
          </w:tcPr>
          <w:p w:rsidR="00666E53" w:rsidRPr="00666E53" w:rsidRDefault="00666E53" w:rsidP="00666E53">
            <w:pPr>
              <w:pStyle w:val="ListParagraph"/>
              <w:numPr>
                <w:ilvl w:val="0"/>
                <w:numId w:val="10"/>
              </w:numPr>
              <w:rPr>
                <w:rFonts w:asciiTheme="minorHAnsi" w:hAnsiTheme="minorHAnsi"/>
                <w:sz w:val="20"/>
              </w:rPr>
            </w:pPr>
            <w:r>
              <w:rPr>
                <w:rFonts w:asciiTheme="minorHAnsi" w:hAnsiTheme="minorHAnsi"/>
                <w:sz w:val="20"/>
              </w:rPr>
              <w:t>DPT</w:t>
            </w:r>
          </w:p>
        </w:tc>
        <w:tc>
          <w:tcPr>
            <w:tcW w:w="957" w:type="dxa"/>
          </w:tcPr>
          <w:p w:rsidR="00666E53" w:rsidRPr="00136EB4" w:rsidRDefault="00666E53" w:rsidP="00033FBA">
            <w:pPr>
              <w:rPr>
                <w:rFonts w:asciiTheme="minorHAnsi" w:hAnsiTheme="minorHAnsi"/>
                <w:sz w:val="20"/>
              </w:rPr>
            </w:pPr>
            <w:r>
              <w:rPr>
                <w:rFonts w:asciiTheme="minorHAnsi" w:hAnsiTheme="minorHAnsi"/>
                <w:sz w:val="20"/>
              </w:rPr>
              <w:t>DMR</w:t>
            </w:r>
          </w:p>
        </w:tc>
        <w:tc>
          <w:tcPr>
            <w:tcW w:w="6413" w:type="dxa"/>
            <w:gridSpan w:val="3"/>
          </w:tcPr>
          <w:p w:rsidR="00666E53" w:rsidRDefault="00666E53" w:rsidP="00033FBA">
            <w:pPr>
              <w:rPr>
                <w:rFonts w:asciiTheme="minorHAnsi" w:hAnsiTheme="minorHAnsi"/>
                <w:sz w:val="20"/>
              </w:rPr>
            </w:pPr>
            <w:r>
              <w:rPr>
                <w:rFonts w:asciiTheme="minorHAnsi" w:hAnsiTheme="minorHAnsi"/>
                <w:sz w:val="20"/>
              </w:rPr>
              <w:t>The Department does not have proven information pertaining to any staff member having been awarded any contracts or agreements to conduct business with any state entity in the (</w:t>
            </w:r>
            <w:proofErr w:type="spellStart"/>
            <w:r>
              <w:rPr>
                <w:rFonts w:asciiTheme="minorHAnsi" w:hAnsiTheme="minorHAnsi"/>
                <w:sz w:val="20"/>
              </w:rPr>
              <w:t>i</w:t>
            </w:r>
            <w:proofErr w:type="spellEnd"/>
            <w:r>
              <w:rPr>
                <w:rFonts w:asciiTheme="minorHAnsi" w:hAnsiTheme="minorHAnsi"/>
                <w:sz w:val="20"/>
              </w:rPr>
              <w:t>) 2014-15, 2015-16 and (iii) 2016-17 financial years.</w:t>
            </w:r>
          </w:p>
        </w:tc>
      </w:tr>
      <w:tr w:rsidR="00DC0AD8" w:rsidRPr="009018F5" w:rsidTr="00666E53">
        <w:tc>
          <w:tcPr>
            <w:tcW w:w="1260" w:type="dxa"/>
            <w:vMerge w:val="restart"/>
            <w:shd w:val="clear" w:color="auto" w:fill="FF0000"/>
          </w:tcPr>
          <w:p w:rsidR="00DC0AD8" w:rsidRPr="00136EB4" w:rsidRDefault="00DC0AD8" w:rsidP="00033FBA">
            <w:pPr>
              <w:rPr>
                <w:rFonts w:asciiTheme="minorHAnsi" w:hAnsiTheme="minorHAnsi"/>
                <w:sz w:val="20"/>
              </w:rPr>
            </w:pPr>
            <w:r>
              <w:rPr>
                <w:rFonts w:asciiTheme="minorHAnsi" w:hAnsiTheme="minorHAnsi"/>
                <w:sz w:val="20"/>
              </w:rPr>
              <w:t>b</w:t>
            </w:r>
            <w:r w:rsidRPr="00136EB4">
              <w:rPr>
                <w:rFonts w:asciiTheme="minorHAnsi" w:hAnsiTheme="minorHAnsi"/>
                <w:sz w:val="20"/>
              </w:rPr>
              <w:t>)Entities</w:t>
            </w:r>
          </w:p>
        </w:tc>
        <w:tc>
          <w:tcPr>
            <w:tcW w:w="957" w:type="dxa"/>
          </w:tcPr>
          <w:p w:rsidR="00DC0AD8" w:rsidRPr="00136EB4" w:rsidRDefault="00DC0AD8" w:rsidP="00033FBA">
            <w:pPr>
              <w:rPr>
                <w:rFonts w:asciiTheme="minorHAnsi" w:hAnsiTheme="minorHAnsi"/>
                <w:sz w:val="20"/>
              </w:rPr>
            </w:pPr>
            <w:r w:rsidRPr="00136EB4">
              <w:rPr>
                <w:rFonts w:asciiTheme="minorHAnsi" w:hAnsiTheme="minorHAnsi"/>
                <w:sz w:val="20"/>
              </w:rPr>
              <w:t>CGS</w:t>
            </w:r>
          </w:p>
        </w:tc>
        <w:tc>
          <w:tcPr>
            <w:tcW w:w="2098" w:type="dxa"/>
          </w:tcPr>
          <w:p w:rsidR="00DC0AD8" w:rsidRPr="009018F5" w:rsidRDefault="00DC0AD8" w:rsidP="00033FBA">
            <w:pPr>
              <w:rPr>
                <w:rFonts w:asciiTheme="minorHAnsi" w:hAnsiTheme="minorHAnsi"/>
                <w:sz w:val="20"/>
              </w:rPr>
            </w:pPr>
            <w:r>
              <w:rPr>
                <w:rFonts w:asciiTheme="minorHAnsi" w:hAnsiTheme="minorHAnsi"/>
                <w:sz w:val="20"/>
              </w:rPr>
              <w:t>No</w:t>
            </w:r>
          </w:p>
        </w:tc>
        <w:tc>
          <w:tcPr>
            <w:tcW w:w="2245" w:type="dxa"/>
          </w:tcPr>
          <w:p w:rsidR="00DC0AD8" w:rsidRPr="009018F5" w:rsidRDefault="00DC0AD8" w:rsidP="00033FBA">
            <w:pPr>
              <w:rPr>
                <w:rFonts w:asciiTheme="minorHAnsi" w:hAnsiTheme="minorHAnsi"/>
                <w:sz w:val="20"/>
              </w:rPr>
            </w:pPr>
            <w:r>
              <w:rPr>
                <w:rFonts w:asciiTheme="minorHAnsi" w:hAnsiTheme="minorHAnsi"/>
                <w:sz w:val="20"/>
              </w:rPr>
              <w:t>No</w:t>
            </w:r>
          </w:p>
        </w:tc>
        <w:tc>
          <w:tcPr>
            <w:tcW w:w="2070" w:type="dxa"/>
          </w:tcPr>
          <w:p w:rsidR="00DC0AD8" w:rsidRPr="009018F5" w:rsidRDefault="00DC0AD8" w:rsidP="00033FBA">
            <w:pPr>
              <w:rPr>
                <w:rFonts w:asciiTheme="minorHAnsi" w:hAnsiTheme="minorHAnsi"/>
                <w:sz w:val="20"/>
              </w:rPr>
            </w:pPr>
            <w:r>
              <w:rPr>
                <w:rFonts w:asciiTheme="minorHAnsi" w:hAnsiTheme="minorHAnsi"/>
                <w:sz w:val="20"/>
              </w:rPr>
              <w:t>No</w:t>
            </w:r>
          </w:p>
        </w:tc>
      </w:tr>
      <w:tr w:rsidR="00DC0AD8" w:rsidRPr="00136EB4" w:rsidTr="00666E53">
        <w:trPr>
          <w:trHeight w:val="350"/>
        </w:trPr>
        <w:tc>
          <w:tcPr>
            <w:tcW w:w="1260" w:type="dxa"/>
            <w:vMerge/>
            <w:shd w:val="clear" w:color="auto" w:fill="FF0000"/>
          </w:tcPr>
          <w:p w:rsidR="00DC0AD8" w:rsidRPr="00136EB4" w:rsidRDefault="00DC0AD8" w:rsidP="00033FBA">
            <w:pPr>
              <w:rPr>
                <w:rFonts w:asciiTheme="minorHAnsi" w:hAnsiTheme="minorHAnsi"/>
                <w:sz w:val="20"/>
              </w:rPr>
            </w:pPr>
          </w:p>
        </w:tc>
        <w:tc>
          <w:tcPr>
            <w:tcW w:w="957" w:type="dxa"/>
          </w:tcPr>
          <w:p w:rsidR="00DC0AD8" w:rsidRPr="00136EB4" w:rsidRDefault="00DC0AD8" w:rsidP="00033FBA">
            <w:pPr>
              <w:rPr>
                <w:rFonts w:asciiTheme="minorHAnsi" w:hAnsiTheme="minorHAnsi"/>
                <w:sz w:val="20"/>
              </w:rPr>
            </w:pPr>
            <w:r w:rsidRPr="00136EB4">
              <w:rPr>
                <w:rFonts w:asciiTheme="minorHAnsi" w:hAnsiTheme="minorHAnsi"/>
                <w:sz w:val="20"/>
              </w:rPr>
              <w:t>MINTEK</w:t>
            </w:r>
          </w:p>
        </w:tc>
        <w:tc>
          <w:tcPr>
            <w:tcW w:w="2098" w:type="dxa"/>
          </w:tcPr>
          <w:p w:rsidR="00DC0AD8" w:rsidRPr="00136EB4" w:rsidRDefault="00DC0AD8" w:rsidP="00033FBA">
            <w:pPr>
              <w:rPr>
                <w:rFonts w:asciiTheme="minorHAnsi" w:hAnsiTheme="minorHAnsi"/>
                <w:sz w:val="20"/>
              </w:rPr>
            </w:pPr>
            <w:r>
              <w:rPr>
                <w:rFonts w:asciiTheme="minorHAnsi" w:hAnsiTheme="minorHAnsi"/>
                <w:sz w:val="20"/>
              </w:rPr>
              <w:t>No</w:t>
            </w:r>
          </w:p>
        </w:tc>
        <w:tc>
          <w:tcPr>
            <w:tcW w:w="2245" w:type="dxa"/>
          </w:tcPr>
          <w:p w:rsidR="00DC0AD8" w:rsidRPr="00136EB4" w:rsidRDefault="00DC0AD8" w:rsidP="00033FBA">
            <w:pPr>
              <w:rPr>
                <w:rFonts w:asciiTheme="minorHAnsi" w:hAnsiTheme="minorHAnsi"/>
                <w:sz w:val="20"/>
              </w:rPr>
            </w:pPr>
            <w:r>
              <w:rPr>
                <w:rFonts w:asciiTheme="minorHAnsi" w:hAnsiTheme="minorHAnsi"/>
                <w:sz w:val="20"/>
              </w:rPr>
              <w:t>No</w:t>
            </w:r>
          </w:p>
        </w:tc>
        <w:tc>
          <w:tcPr>
            <w:tcW w:w="2070" w:type="dxa"/>
          </w:tcPr>
          <w:p w:rsidR="00DC0AD8" w:rsidRPr="00136EB4" w:rsidRDefault="00DC0AD8" w:rsidP="00033FBA">
            <w:pPr>
              <w:rPr>
                <w:rFonts w:asciiTheme="minorHAnsi" w:hAnsiTheme="minorHAnsi"/>
                <w:sz w:val="20"/>
              </w:rPr>
            </w:pPr>
            <w:r>
              <w:rPr>
                <w:rFonts w:asciiTheme="minorHAnsi" w:hAnsiTheme="minorHAnsi"/>
                <w:sz w:val="20"/>
              </w:rPr>
              <w:t>No</w:t>
            </w:r>
          </w:p>
        </w:tc>
      </w:tr>
      <w:tr w:rsidR="00DC0AD8" w:rsidRPr="00136EB4" w:rsidTr="00666E53">
        <w:tc>
          <w:tcPr>
            <w:tcW w:w="1260" w:type="dxa"/>
            <w:vMerge/>
            <w:shd w:val="clear" w:color="auto" w:fill="FF0000"/>
          </w:tcPr>
          <w:p w:rsidR="00DC0AD8" w:rsidRPr="00136EB4" w:rsidRDefault="00DC0AD8" w:rsidP="00033FBA">
            <w:pPr>
              <w:rPr>
                <w:rFonts w:asciiTheme="minorHAnsi" w:hAnsiTheme="minorHAnsi"/>
                <w:sz w:val="20"/>
              </w:rPr>
            </w:pPr>
          </w:p>
        </w:tc>
        <w:tc>
          <w:tcPr>
            <w:tcW w:w="957" w:type="dxa"/>
          </w:tcPr>
          <w:p w:rsidR="00DC0AD8" w:rsidRPr="00136EB4" w:rsidRDefault="00DC0AD8" w:rsidP="00033FBA">
            <w:pPr>
              <w:rPr>
                <w:rFonts w:asciiTheme="minorHAnsi" w:hAnsiTheme="minorHAnsi"/>
                <w:sz w:val="20"/>
              </w:rPr>
            </w:pPr>
            <w:r w:rsidRPr="00136EB4">
              <w:rPr>
                <w:rFonts w:asciiTheme="minorHAnsi" w:hAnsiTheme="minorHAnsi"/>
                <w:sz w:val="20"/>
              </w:rPr>
              <w:t>SDT</w:t>
            </w:r>
          </w:p>
        </w:tc>
        <w:tc>
          <w:tcPr>
            <w:tcW w:w="2098" w:type="dxa"/>
          </w:tcPr>
          <w:p w:rsidR="00DC0AD8" w:rsidRPr="00136EB4" w:rsidRDefault="00DC0AD8" w:rsidP="00033FBA">
            <w:pPr>
              <w:rPr>
                <w:rFonts w:asciiTheme="minorHAnsi" w:hAnsiTheme="minorHAnsi"/>
                <w:sz w:val="20"/>
              </w:rPr>
            </w:pPr>
            <w:r>
              <w:rPr>
                <w:rFonts w:asciiTheme="minorHAnsi" w:hAnsiTheme="minorHAnsi"/>
                <w:sz w:val="20"/>
              </w:rPr>
              <w:t>No</w:t>
            </w:r>
          </w:p>
        </w:tc>
        <w:tc>
          <w:tcPr>
            <w:tcW w:w="2245" w:type="dxa"/>
          </w:tcPr>
          <w:p w:rsidR="00DC0AD8" w:rsidRPr="00136EB4" w:rsidRDefault="00DC0AD8" w:rsidP="00033FBA">
            <w:pPr>
              <w:rPr>
                <w:rFonts w:asciiTheme="minorHAnsi" w:hAnsiTheme="minorHAnsi"/>
                <w:sz w:val="20"/>
              </w:rPr>
            </w:pPr>
            <w:r>
              <w:rPr>
                <w:rFonts w:asciiTheme="minorHAnsi" w:hAnsiTheme="minorHAnsi"/>
                <w:sz w:val="20"/>
              </w:rPr>
              <w:t>No</w:t>
            </w:r>
          </w:p>
        </w:tc>
        <w:tc>
          <w:tcPr>
            <w:tcW w:w="2070" w:type="dxa"/>
          </w:tcPr>
          <w:p w:rsidR="00DC0AD8" w:rsidRPr="00136EB4" w:rsidRDefault="00DC0AD8" w:rsidP="00033FBA">
            <w:pPr>
              <w:rPr>
                <w:rFonts w:asciiTheme="minorHAnsi" w:hAnsiTheme="minorHAnsi"/>
                <w:sz w:val="20"/>
              </w:rPr>
            </w:pPr>
            <w:r>
              <w:rPr>
                <w:rFonts w:asciiTheme="minorHAnsi" w:hAnsiTheme="minorHAnsi"/>
                <w:sz w:val="20"/>
              </w:rPr>
              <w:t>No</w:t>
            </w:r>
          </w:p>
        </w:tc>
      </w:tr>
      <w:tr w:rsidR="00DC0AD8" w:rsidRPr="008677AE" w:rsidTr="00666E53">
        <w:trPr>
          <w:trHeight w:val="323"/>
        </w:trPr>
        <w:tc>
          <w:tcPr>
            <w:tcW w:w="1260" w:type="dxa"/>
            <w:vMerge/>
            <w:shd w:val="clear" w:color="auto" w:fill="FF0000"/>
          </w:tcPr>
          <w:p w:rsidR="00DC0AD8" w:rsidRPr="00136EB4" w:rsidRDefault="00DC0AD8" w:rsidP="00033FBA">
            <w:pPr>
              <w:rPr>
                <w:rFonts w:asciiTheme="minorHAnsi" w:hAnsiTheme="minorHAnsi"/>
                <w:sz w:val="20"/>
              </w:rPr>
            </w:pPr>
          </w:p>
        </w:tc>
        <w:tc>
          <w:tcPr>
            <w:tcW w:w="957" w:type="dxa"/>
          </w:tcPr>
          <w:p w:rsidR="00DC0AD8" w:rsidRPr="00136EB4" w:rsidRDefault="00DC0AD8" w:rsidP="00033FBA">
            <w:pPr>
              <w:rPr>
                <w:rFonts w:asciiTheme="minorHAnsi" w:hAnsiTheme="minorHAnsi"/>
                <w:sz w:val="20"/>
              </w:rPr>
            </w:pPr>
            <w:r w:rsidRPr="00136EB4">
              <w:rPr>
                <w:rFonts w:asciiTheme="minorHAnsi" w:hAnsiTheme="minorHAnsi"/>
                <w:sz w:val="20"/>
              </w:rPr>
              <w:t>SADPMR</w:t>
            </w:r>
          </w:p>
        </w:tc>
        <w:tc>
          <w:tcPr>
            <w:tcW w:w="2098" w:type="dxa"/>
          </w:tcPr>
          <w:p w:rsidR="00DC0AD8" w:rsidRPr="008677AE" w:rsidRDefault="00501DB7" w:rsidP="00033FBA">
            <w:pPr>
              <w:rPr>
                <w:rFonts w:asciiTheme="minorHAnsi" w:hAnsiTheme="minorHAnsi"/>
                <w:sz w:val="20"/>
              </w:rPr>
            </w:pPr>
            <w:r>
              <w:rPr>
                <w:rFonts w:asciiTheme="minorHAnsi" w:hAnsiTheme="minorHAnsi"/>
                <w:sz w:val="20"/>
              </w:rPr>
              <w:t>No</w:t>
            </w:r>
          </w:p>
        </w:tc>
        <w:tc>
          <w:tcPr>
            <w:tcW w:w="2245" w:type="dxa"/>
          </w:tcPr>
          <w:p w:rsidR="00DC0AD8" w:rsidRPr="008677AE" w:rsidRDefault="00501DB7" w:rsidP="00033FBA">
            <w:pPr>
              <w:rPr>
                <w:rFonts w:asciiTheme="minorHAnsi" w:hAnsiTheme="minorHAnsi"/>
                <w:sz w:val="20"/>
              </w:rPr>
            </w:pPr>
            <w:r>
              <w:rPr>
                <w:rFonts w:asciiTheme="minorHAnsi" w:hAnsiTheme="minorHAnsi"/>
                <w:sz w:val="20"/>
              </w:rPr>
              <w:t>No</w:t>
            </w:r>
          </w:p>
        </w:tc>
        <w:tc>
          <w:tcPr>
            <w:tcW w:w="2070" w:type="dxa"/>
          </w:tcPr>
          <w:p w:rsidR="00DC0AD8" w:rsidRPr="008677AE" w:rsidRDefault="00501DB7" w:rsidP="00033FBA">
            <w:pPr>
              <w:rPr>
                <w:rFonts w:asciiTheme="minorHAnsi" w:hAnsiTheme="minorHAnsi"/>
                <w:sz w:val="20"/>
              </w:rPr>
            </w:pPr>
            <w:r>
              <w:rPr>
                <w:rFonts w:asciiTheme="minorHAnsi" w:hAnsiTheme="minorHAnsi"/>
                <w:sz w:val="20"/>
              </w:rPr>
              <w:t>No</w:t>
            </w:r>
          </w:p>
        </w:tc>
      </w:tr>
      <w:tr w:rsidR="00DC0AD8" w:rsidRPr="008677AE" w:rsidTr="00666E53">
        <w:trPr>
          <w:trHeight w:val="58"/>
        </w:trPr>
        <w:tc>
          <w:tcPr>
            <w:tcW w:w="1260" w:type="dxa"/>
            <w:vMerge/>
            <w:shd w:val="clear" w:color="auto" w:fill="FF0000"/>
          </w:tcPr>
          <w:p w:rsidR="00DC0AD8" w:rsidRPr="00136EB4" w:rsidRDefault="00DC0AD8" w:rsidP="00033FBA">
            <w:pPr>
              <w:rPr>
                <w:rFonts w:asciiTheme="minorHAnsi" w:hAnsiTheme="minorHAnsi"/>
                <w:sz w:val="20"/>
              </w:rPr>
            </w:pPr>
          </w:p>
        </w:tc>
        <w:tc>
          <w:tcPr>
            <w:tcW w:w="957" w:type="dxa"/>
          </w:tcPr>
          <w:p w:rsidR="00DC0AD8" w:rsidRPr="00136EB4" w:rsidRDefault="00DC0AD8" w:rsidP="00033FBA">
            <w:pPr>
              <w:rPr>
                <w:rFonts w:asciiTheme="minorHAnsi" w:hAnsiTheme="minorHAnsi"/>
                <w:sz w:val="20"/>
              </w:rPr>
            </w:pPr>
            <w:r w:rsidRPr="00136EB4">
              <w:rPr>
                <w:rFonts w:asciiTheme="minorHAnsi" w:hAnsiTheme="minorHAnsi"/>
                <w:sz w:val="20"/>
              </w:rPr>
              <w:t>MHSC</w:t>
            </w:r>
          </w:p>
        </w:tc>
        <w:tc>
          <w:tcPr>
            <w:tcW w:w="2098" w:type="dxa"/>
          </w:tcPr>
          <w:p w:rsidR="00DC0AD8" w:rsidRPr="00136EB4" w:rsidRDefault="00DC0AD8" w:rsidP="00033FBA">
            <w:pPr>
              <w:rPr>
                <w:rFonts w:asciiTheme="minorHAnsi" w:hAnsiTheme="minorHAnsi"/>
                <w:sz w:val="20"/>
              </w:rPr>
            </w:pPr>
            <w:r>
              <w:rPr>
                <w:rFonts w:asciiTheme="minorHAnsi" w:hAnsiTheme="minorHAnsi"/>
                <w:sz w:val="20"/>
              </w:rPr>
              <w:t>No</w:t>
            </w:r>
          </w:p>
        </w:tc>
        <w:tc>
          <w:tcPr>
            <w:tcW w:w="2245" w:type="dxa"/>
          </w:tcPr>
          <w:p w:rsidR="00DC0AD8" w:rsidRPr="008677AE" w:rsidRDefault="00DC0AD8" w:rsidP="00033FBA">
            <w:pPr>
              <w:rPr>
                <w:rFonts w:asciiTheme="minorHAnsi" w:hAnsiTheme="minorHAnsi"/>
                <w:sz w:val="20"/>
              </w:rPr>
            </w:pPr>
            <w:r>
              <w:rPr>
                <w:rFonts w:asciiTheme="minorHAnsi" w:hAnsiTheme="minorHAnsi"/>
                <w:sz w:val="20"/>
              </w:rPr>
              <w:t>No</w:t>
            </w:r>
          </w:p>
        </w:tc>
        <w:tc>
          <w:tcPr>
            <w:tcW w:w="2070" w:type="dxa"/>
          </w:tcPr>
          <w:p w:rsidR="00DC0AD8" w:rsidRPr="008677AE" w:rsidRDefault="00DC0AD8" w:rsidP="00033FBA">
            <w:pPr>
              <w:rPr>
                <w:rFonts w:asciiTheme="minorHAnsi" w:hAnsiTheme="minorHAnsi"/>
                <w:sz w:val="20"/>
              </w:rPr>
            </w:pPr>
            <w:r>
              <w:rPr>
                <w:rFonts w:asciiTheme="minorHAnsi" w:hAnsiTheme="minorHAnsi"/>
                <w:sz w:val="20"/>
              </w:rPr>
              <w:t>No</w:t>
            </w:r>
          </w:p>
        </w:tc>
      </w:tr>
    </w:tbl>
    <w:p w:rsidR="00DC0AD8" w:rsidRDefault="00DC0AD8" w:rsidP="00DC0AD8">
      <w:pPr>
        <w:rPr>
          <w:rFonts w:ascii="Arial" w:hAnsi="Arial" w:cs="Arial"/>
        </w:rPr>
      </w:pPr>
    </w:p>
    <w:p w:rsidR="00BB434F" w:rsidRDefault="00BB434F" w:rsidP="001D4A99">
      <w:pPr>
        <w:spacing w:before="100" w:beforeAutospacing="1" w:after="100" w:afterAutospacing="1" w:line="360" w:lineRule="auto"/>
        <w:rPr>
          <w:rFonts w:ascii="Arial" w:hAnsi="Arial" w:cs="Arial"/>
        </w:rPr>
      </w:pPr>
    </w:p>
    <w:p w:rsidR="00666E53" w:rsidRPr="001D4A99" w:rsidRDefault="00666E53"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BA" w:rsidRDefault="001D35BA" w:rsidP="0012321F">
      <w:r>
        <w:separator/>
      </w:r>
    </w:p>
  </w:endnote>
  <w:endnote w:type="continuationSeparator" w:id="0">
    <w:p w:rsidR="001D35BA" w:rsidRDefault="001D35B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BA" w:rsidRDefault="001D35BA" w:rsidP="0012321F">
      <w:r>
        <w:separator/>
      </w:r>
    </w:p>
  </w:footnote>
  <w:footnote w:type="continuationSeparator" w:id="0">
    <w:p w:rsidR="001D35BA" w:rsidRDefault="001D35BA"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1B852B2"/>
    <w:multiLevelType w:val="hybridMultilevel"/>
    <w:tmpl w:val="043CE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2"/>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C29FE"/>
    <w:rsid w:val="001D35BA"/>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36EAF"/>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81E65"/>
    <w:rsid w:val="004859C3"/>
    <w:rsid w:val="004A090B"/>
    <w:rsid w:val="004A1D94"/>
    <w:rsid w:val="004D7CCF"/>
    <w:rsid w:val="004F0568"/>
    <w:rsid w:val="004F4DFF"/>
    <w:rsid w:val="00501DB7"/>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66E53"/>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C50DA"/>
    <w:rsid w:val="007D2AA0"/>
    <w:rsid w:val="007D5D3D"/>
    <w:rsid w:val="007E6206"/>
    <w:rsid w:val="007F708D"/>
    <w:rsid w:val="00803FB5"/>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35C4B"/>
    <w:rsid w:val="0094670D"/>
    <w:rsid w:val="00955899"/>
    <w:rsid w:val="00985A6F"/>
    <w:rsid w:val="009A2D48"/>
    <w:rsid w:val="009B0E36"/>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318A"/>
    <w:rsid w:val="00AF62A0"/>
    <w:rsid w:val="00AF7A09"/>
    <w:rsid w:val="00B05B25"/>
    <w:rsid w:val="00B10F8B"/>
    <w:rsid w:val="00B23333"/>
    <w:rsid w:val="00B27BB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C0AD8"/>
    <w:rsid w:val="00DD5354"/>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AD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2017-06-19T09:08:00Z</cp:lastPrinted>
  <dcterms:created xsi:type="dcterms:W3CDTF">2017-06-19T09:08:00Z</dcterms:created>
  <dcterms:modified xsi:type="dcterms:W3CDTF">2017-06-19T09:08:00Z</dcterms:modified>
</cp:coreProperties>
</file>