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2272" w14:textId="77777777" w:rsidR="003D2372" w:rsidRPr="00D51E5C" w:rsidRDefault="0049023F" w:rsidP="00490D5F">
      <w:pPr>
        <w:spacing w:before="100" w:beforeAutospacing="1" w:after="100" w:afterAutospacing="1" w:line="240" w:lineRule="auto"/>
        <w:ind w:left="720" w:hanging="720"/>
        <w:jc w:val="both"/>
        <w:outlineLvl w:val="0"/>
        <w:rPr>
          <w:rFonts w:ascii="Arial" w:hAnsi="Arial" w:cs="Arial"/>
          <w:b/>
          <w:noProof/>
          <w:lang w:val="af-ZA"/>
        </w:rPr>
      </w:pPr>
      <w:bookmarkStart w:id="0" w:name="_GoBack"/>
      <w:bookmarkEnd w:id="0"/>
      <w:r w:rsidRPr="00D51E5C">
        <w:rPr>
          <w:rFonts w:ascii="Arial" w:hAnsi="Arial" w:cs="Arial"/>
          <w:b/>
          <w:noProof/>
          <w:lang w:val="af-ZA"/>
        </w:rPr>
        <w:tab/>
      </w:r>
      <w:r w:rsidR="003D2372" w:rsidRPr="00D51E5C">
        <w:rPr>
          <w:rFonts w:ascii="Arial" w:hAnsi="Arial" w:cs="Arial"/>
          <w:b/>
          <w:noProof/>
          <w:lang w:eastAsia="en-ZA"/>
        </w:rPr>
        <w:drawing>
          <wp:anchor distT="0" distB="0" distL="114300" distR="114300" simplePos="0" relativeHeight="251659264" behindDoc="1" locked="0" layoutInCell="1" allowOverlap="1" wp14:anchorId="09780354" wp14:editId="5C24511B">
            <wp:simplePos x="0" y="0"/>
            <wp:positionH relativeFrom="column">
              <wp:posOffset>-231140</wp:posOffset>
            </wp:positionH>
            <wp:positionV relativeFrom="paragraph">
              <wp:posOffset>-324485</wp:posOffset>
            </wp:positionV>
            <wp:extent cx="2218704" cy="882502"/>
            <wp:effectExtent l="0" t="0" r="0" b="0"/>
            <wp:wrapNone/>
            <wp:docPr id="1" name="Picture 1" descr="the d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ti logo"/>
                    <pic:cNvPicPr>
                      <a:picLocks noChangeAspect="1" noChangeArrowheads="1"/>
                    </pic:cNvPicPr>
                  </pic:nvPicPr>
                  <pic:blipFill>
                    <a:blip r:embed="rId6" cstate="print"/>
                    <a:srcRect/>
                    <a:stretch>
                      <a:fillRect/>
                    </a:stretch>
                  </pic:blipFill>
                  <pic:spPr bwMode="auto">
                    <a:xfrm>
                      <a:off x="0" y="0"/>
                      <a:ext cx="2218704" cy="882502"/>
                    </a:xfrm>
                    <a:prstGeom prst="rect">
                      <a:avLst/>
                    </a:prstGeom>
                    <a:noFill/>
                    <a:ln w="9525">
                      <a:noFill/>
                      <a:miter lim="800000"/>
                      <a:headEnd/>
                      <a:tailEnd/>
                    </a:ln>
                  </pic:spPr>
                </pic:pic>
              </a:graphicData>
            </a:graphic>
          </wp:anchor>
        </w:drawing>
      </w:r>
    </w:p>
    <w:p w14:paraId="609F3F49" w14:textId="77777777" w:rsidR="003D2372" w:rsidRPr="00D51E5C" w:rsidRDefault="0049023F" w:rsidP="00490D5F">
      <w:pPr>
        <w:spacing w:before="100" w:beforeAutospacing="1" w:after="100" w:afterAutospacing="1" w:line="240" w:lineRule="auto"/>
        <w:ind w:left="720" w:hanging="720"/>
        <w:jc w:val="both"/>
        <w:outlineLvl w:val="0"/>
        <w:rPr>
          <w:rFonts w:ascii="Arial" w:hAnsi="Arial" w:cs="Arial"/>
          <w:b/>
          <w:noProof/>
          <w:lang w:val="af-ZA"/>
        </w:rPr>
      </w:pPr>
      <w:r w:rsidRPr="00D51E5C">
        <w:rPr>
          <w:rFonts w:ascii="Arial" w:hAnsi="Arial" w:cs="Arial"/>
          <w:b/>
          <w:noProof/>
          <w:lang w:val="af-ZA"/>
        </w:rPr>
        <w:tab/>
      </w:r>
      <w:r w:rsidRPr="00D51E5C">
        <w:rPr>
          <w:rFonts w:ascii="Arial" w:hAnsi="Arial" w:cs="Arial"/>
          <w:b/>
          <w:noProof/>
          <w:lang w:val="af-ZA"/>
        </w:rPr>
        <w:tab/>
      </w:r>
      <w:r w:rsidRPr="00D51E5C">
        <w:rPr>
          <w:rFonts w:ascii="Arial" w:hAnsi="Arial" w:cs="Arial"/>
          <w:b/>
          <w:noProof/>
          <w:lang w:val="af-ZA"/>
        </w:rPr>
        <w:tab/>
        <w:t xml:space="preserve">   </w:t>
      </w:r>
    </w:p>
    <w:p w14:paraId="584BC57C" w14:textId="77777777" w:rsidR="0049023F" w:rsidRPr="00D51E5C" w:rsidRDefault="00350D2D" w:rsidP="003D2372">
      <w:pPr>
        <w:spacing w:before="100" w:beforeAutospacing="1" w:after="100" w:afterAutospacing="1" w:line="240" w:lineRule="auto"/>
        <w:ind w:left="2160" w:firstLine="720"/>
        <w:jc w:val="both"/>
        <w:outlineLvl w:val="0"/>
        <w:rPr>
          <w:rFonts w:ascii="Arial" w:hAnsi="Arial" w:cs="Arial"/>
          <w:b/>
          <w:noProof/>
          <w:lang w:val="af-ZA"/>
        </w:rPr>
      </w:pPr>
      <w:r>
        <w:rPr>
          <w:rFonts w:ascii="Arial" w:hAnsi="Arial" w:cs="Arial"/>
          <w:b/>
          <w:noProof/>
          <w:lang w:val="af-ZA"/>
        </w:rPr>
        <w:t xml:space="preserve">                            </w:t>
      </w:r>
      <w:r w:rsidR="0049023F" w:rsidRPr="00D51E5C">
        <w:rPr>
          <w:rFonts w:ascii="Arial" w:hAnsi="Arial" w:cs="Arial"/>
          <w:b/>
          <w:noProof/>
          <w:lang w:val="af-ZA"/>
        </w:rPr>
        <w:t>THE NATIONAL ASSEMBLY</w:t>
      </w:r>
    </w:p>
    <w:p w14:paraId="6DE40A73" w14:textId="77777777" w:rsidR="0049023F" w:rsidRPr="00D51E5C" w:rsidRDefault="0049023F" w:rsidP="00490D5F">
      <w:pPr>
        <w:spacing w:before="100" w:beforeAutospacing="1" w:after="100" w:afterAutospacing="1" w:line="240" w:lineRule="auto"/>
        <w:ind w:left="720" w:hanging="720"/>
        <w:jc w:val="both"/>
        <w:outlineLvl w:val="0"/>
        <w:rPr>
          <w:rFonts w:ascii="Arial" w:hAnsi="Arial" w:cs="Arial"/>
          <w:b/>
          <w:noProof/>
          <w:lang w:val="af-ZA"/>
        </w:rPr>
      </w:pPr>
      <w:r w:rsidRPr="00D51E5C">
        <w:rPr>
          <w:rFonts w:ascii="Arial" w:hAnsi="Arial" w:cs="Arial"/>
          <w:b/>
          <w:noProof/>
          <w:lang w:val="af-ZA"/>
        </w:rPr>
        <w:tab/>
      </w:r>
      <w:r w:rsidRPr="00D51E5C">
        <w:rPr>
          <w:rFonts w:ascii="Arial" w:hAnsi="Arial" w:cs="Arial"/>
          <w:b/>
          <w:noProof/>
          <w:lang w:val="af-ZA"/>
        </w:rPr>
        <w:tab/>
      </w:r>
      <w:r w:rsidRPr="00D51E5C">
        <w:rPr>
          <w:rFonts w:ascii="Arial" w:hAnsi="Arial" w:cs="Arial"/>
          <w:b/>
          <w:noProof/>
          <w:lang w:val="af-ZA"/>
        </w:rPr>
        <w:tab/>
      </w:r>
      <w:r w:rsidRPr="00D51E5C">
        <w:rPr>
          <w:rFonts w:ascii="Arial" w:hAnsi="Arial" w:cs="Arial"/>
          <w:b/>
          <w:noProof/>
          <w:lang w:val="af-ZA"/>
        </w:rPr>
        <w:tab/>
      </w:r>
      <w:r w:rsidR="00350D2D">
        <w:rPr>
          <w:rFonts w:ascii="Arial" w:hAnsi="Arial" w:cs="Arial"/>
          <w:b/>
          <w:noProof/>
          <w:lang w:val="af-ZA"/>
        </w:rPr>
        <w:t xml:space="preserve">                       </w:t>
      </w:r>
      <w:r w:rsidR="00762841">
        <w:rPr>
          <w:rFonts w:ascii="Arial" w:hAnsi="Arial" w:cs="Arial"/>
          <w:b/>
          <w:noProof/>
          <w:lang w:val="af-ZA"/>
        </w:rPr>
        <w:t xml:space="preserve">  </w:t>
      </w:r>
      <w:r w:rsidR="00350D2D">
        <w:rPr>
          <w:rFonts w:ascii="Arial" w:hAnsi="Arial" w:cs="Arial"/>
          <w:b/>
          <w:noProof/>
          <w:lang w:val="af-ZA"/>
        </w:rPr>
        <w:t xml:space="preserve"> </w:t>
      </w:r>
      <w:r w:rsidRPr="00D51E5C">
        <w:rPr>
          <w:rFonts w:ascii="Arial" w:hAnsi="Arial" w:cs="Arial"/>
          <w:b/>
          <w:noProof/>
          <w:lang w:val="af-ZA"/>
        </w:rPr>
        <w:t>QUESTION FOR WRITTEN REPLY</w:t>
      </w:r>
    </w:p>
    <w:p w14:paraId="6071C6E6" w14:textId="77777777" w:rsidR="00F95ABE" w:rsidRPr="00F95ABE" w:rsidRDefault="00F95ABE" w:rsidP="00F95ABE">
      <w:pPr>
        <w:spacing w:before="100" w:beforeAutospacing="1" w:after="100" w:afterAutospacing="1"/>
        <w:ind w:left="426" w:hanging="426"/>
        <w:jc w:val="both"/>
        <w:rPr>
          <w:rFonts w:ascii="Arial" w:hAnsi="Arial" w:cs="Arial"/>
          <w:b/>
          <w:noProof/>
          <w:lang w:val="af-ZA"/>
        </w:rPr>
      </w:pPr>
      <w:r w:rsidRPr="00F95ABE">
        <w:rPr>
          <w:rFonts w:ascii="Arial" w:hAnsi="Arial" w:cs="Arial"/>
          <w:b/>
          <w:noProof/>
          <w:lang w:val="af-ZA"/>
        </w:rPr>
        <w:t>1724.</w:t>
      </w:r>
      <w:r w:rsidRPr="00F95ABE">
        <w:rPr>
          <w:rFonts w:ascii="Arial" w:hAnsi="Arial" w:cs="Arial"/>
          <w:b/>
          <w:noProof/>
          <w:lang w:val="af-ZA"/>
        </w:rPr>
        <w:tab/>
        <w:t>Mrs E N Ntlangwini (EFF) to ask the Minister of Trade and Industry:</w:t>
      </w:r>
    </w:p>
    <w:p w14:paraId="07E85FC4" w14:textId="77777777" w:rsidR="00F95ABE" w:rsidRPr="00F95ABE" w:rsidRDefault="00F95ABE" w:rsidP="00F95ABE">
      <w:pPr>
        <w:spacing w:before="100" w:beforeAutospacing="1" w:after="100" w:afterAutospacing="1"/>
        <w:ind w:left="720" w:hanging="720"/>
        <w:jc w:val="both"/>
        <w:rPr>
          <w:rFonts w:ascii="Arial" w:hAnsi="Arial" w:cs="Arial"/>
          <w:noProof/>
          <w:lang w:val="af-ZA"/>
        </w:rPr>
      </w:pPr>
      <w:r w:rsidRPr="00F95ABE">
        <w:rPr>
          <w:rFonts w:ascii="Arial" w:hAnsi="Arial" w:cs="Arial"/>
          <w:noProof/>
          <w:lang w:val="af-ZA"/>
        </w:rPr>
        <w:t>(1)</w:t>
      </w:r>
      <w:r w:rsidRPr="00F95ABE">
        <w:rPr>
          <w:rFonts w:ascii="Arial" w:hAnsi="Arial" w:cs="Arial"/>
          <w:noProof/>
          <w:lang w:val="af-ZA"/>
        </w:rPr>
        <w:tab/>
        <w:t>(a) What total amount of land owned by his department and the entities reporting to him in each province is (i) vacant and (ii) unused or has no purpose and (b) what is the (i) location and (ii) size of each specified plot of land;</w:t>
      </w:r>
    </w:p>
    <w:p w14:paraId="78AE9F7E" w14:textId="77777777" w:rsidR="00473C88" w:rsidRDefault="00F95ABE" w:rsidP="00F95ABE">
      <w:pPr>
        <w:spacing w:before="100" w:beforeAutospacing="1" w:after="100" w:afterAutospacing="1"/>
        <w:ind w:left="720" w:hanging="720"/>
        <w:jc w:val="both"/>
        <w:rPr>
          <w:rFonts w:ascii="Arial" w:hAnsi="Arial" w:cs="Arial"/>
          <w:noProof/>
          <w:lang w:val="af-ZA"/>
        </w:rPr>
      </w:pPr>
      <w:r w:rsidRPr="00F95ABE">
        <w:rPr>
          <w:rFonts w:ascii="Arial" w:hAnsi="Arial" w:cs="Arial"/>
          <w:noProof/>
          <w:lang w:val="af-ZA"/>
        </w:rPr>
        <w:t>(2)</w:t>
      </w:r>
      <w:r w:rsidRPr="00F95ABE">
        <w:rPr>
          <w:rFonts w:ascii="Arial" w:hAnsi="Arial" w:cs="Arial"/>
          <w:noProof/>
          <w:lang w:val="af-ZA"/>
        </w:rPr>
        <w:tab/>
        <w:t>(a) how much of the land owned by his department and the entities reporting to him has been leased out for private use and (b) what is the (i) Rand value of each lease and (ii)(aa) location and (bb) size of each piece of land?NW1875E</w:t>
      </w:r>
    </w:p>
    <w:p w14:paraId="5E2994F1" w14:textId="77777777" w:rsidR="00350D2D" w:rsidRPr="004428A3" w:rsidRDefault="004428A3" w:rsidP="00F95ABE">
      <w:pPr>
        <w:spacing w:before="100" w:beforeAutospacing="1" w:after="100" w:afterAutospacing="1"/>
        <w:ind w:left="720" w:hanging="720"/>
        <w:jc w:val="both"/>
        <w:rPr>
          <w:rFonts w:ascii="Arial" w:hAnsi="Arial" w:cs="Arial"/>
          <w:b/>
          <w:noProof/>
          <w:lang w:val="af-ZA"/>
        </w:rPr>
      </w:pPr>
      <w:r>
        <w:rPr>
          <w:rFonts w:ascii="Arial" w:hAnsi="Arial" w:cs="Arial"/>
          <w:b/>
          <w:noProof/>
          <w:lang w:val="af-ZA"/>
        </w:rPr>
        <w:t>Response from the Department</w:t>
      </w:r>
    </w:p>
    <w:p w14:paraId="7C43B83D" w14:textId="77777777" w:rsidR="00350D2D" w:rsidRPr="00350D2D" w:rsidRDefault="00350D2D" w:rsidP="00350D2D">
      <w:pPr>
        <w:spacing w:before="100" w:beforeAutospacing="1" w:after="100" w:afterAutospacing="1"/>
        <w:ind w:left="720" w:hanging="720"/>
        <w:jc w:val="both"/>
        <w:rPr>
          <w:rFonts w:ascii="Arial" w:hAnsi="Arial" w:cs="Arial"/>
          <w:noProof/>
          <w:lang w:val="af-ZA"/>
        </w:rPr>
      </w:pPr>
      <w:r w:rsidRPr="00350D2D">
        <w:rPr>
          <w:rFonts w:ascii="Arial" w:hAnsi="Arial" w:cs="Arial"/>
          <w:noProof/>
          <w:lang w:val="af-ZA"/>
        </w:rPr>
        <w:t>(1)</w:t>
      </w:r>
      <w:r w:rsidRPr="00350D2D">
        <w:rPr>
          <w:rFonts w:ascii="Arial" w:hAnsi="Arial" w:cs="Arial"/>
          <w:noProof/>
          <w:lang w:val="af-ZA"/>
        </w:rPr>
        <w:tab/>
        <w:t xml:space="preserve">(a) (i) &amp; (ii) nil – </w:t>
      </w:r>
      <w:r w:rsidRPr="006861BC">
        <w:rPr>
          <w:rFonts w:ascii="Arial" w:hAnsi="Arial" w:cs="Arial"/>
          <w:b/>
          <w:noProof/>
          <w:lang w:val="af-ZA"/>
        </w:rPr>
        <w:t>the dti</w:t>
      </w:r>
      <w:r w:rsidRPr="00350D2D">
        <w:rPr>
          <w:rFonts w:ascii="Arial" w:hAnsi="Arial" w:cs="Arial"/>
          <w:noProof/>
          <w:lang w:val="af-ZA"/>
        </w:rPr>
        <w:t xml:space="preserve"> does not own land.</w:t>
      </w:r>
    </w:p>
    <w:p w14:paraId="4D00026E" w14:textId="77777777" w:rsidR="00350D2D" w:rsidRPr="00350D2D" w:rsidRDefault="00350D2D" w:rsidP="00350D2D">
      <w:pPr>
        <w:spacing w:before="100" w:beforeAutospacing="1" w:after="100" w:afterAutospacing="1"/>
        <w:ind w:left="720"/>
        <w:jc w:val="both"/>
        <w:rPr>
          <w:rFonts w:ascii="Arial" w:hAnsi="Arial" w:cs="Arial"/>
          <w:noProof/>
          <w:lang w:val="af-ZA"/>
        </w:rPr>
      </w:pPr>
      <w:r w:rsidRPr="00350D2D">
        <w:rPr>
          <w:rFonts w:ascii="Arial" w:hAnsi="Arial" w:cs="Arial"/>
          <w:noProof/>
          <w:lang w:val="af-ZA"/>
        </w:rPr>
        <w:t xml:space="preserve">(b) (i) &amp; (ii) </w:t>
      </w:r>
      <w:r w:rsidRPr="006861BC">
        <w:rPr>
          <w:rFonts w:ascii="Arial" w:hAnsi="Arial" w:cs="Arial"/>
          <w:b/>
          <w:noProof/>
          <w:lang w:val="af-ZA"/>
        </w:rPr>
        <w:t>the dti</w:t>
      </w:r>
      <w:r w:rsidRPr="00350D2D">
        <w:rPr>
          <w:rFonts w:ascii="Arial" w:hAnsi="Arial" w:cs="Arial"/>
          <w:noProof/>
          <w:lang w:val="af-ZA"/>
        </w:rPr>
        <w:t xml:space="preserve"> does not own land.</w:t>
      </w:r>
      <w:r w:rsidRPr="00350D2D">
        <w:rPr>
          <w:rFonts w:ascii="Arial" w:hAnsi="Arial" w:cs="Arial"/>
          <w:noProof/>
          <w:lang w:val="af-ZA"/>
        </w:rPr>
        <w:tab/>
      </w:r>
    </w:p>
    <w:p w14:paraId="146A22FC" w14:textId="77777777" w:rsidR="00350D2D" w:rsidRDefault="00350D2D" w:rsidP="00350D2D">
      <w:pPr>
        <w:spacing w:before="100" w:beforeAutospacing="1" w:after="100" w:afterAutospacing="1"/>
        <w:ind w:left="720" w:hanging="720"/>
        <w:jc w:val="both"/>
        <w:rPr>
          <w:rFonts w:ascii="Arial" w:hAnsi="Arial" w:cs="Arial"/>
          <w:noProof/>
          <w:lang w:val="af-ZA"/>
        </w:rPr>
      </w:pPr>
      <w:r w:rsidRPr="00350D2D">
        <w:rPr>
          <w:rFonts w:ascii="Arial" w:hAnsi="Arial" w:cs="Arial"/>
          <w:noProof/>
          <w:lang w:val="af-ZA"/>
        </w:rPr>
        <w:t>(2)</w:t>
      </w:r>
      <w:r w:rsidRPr="00350D2D">
        <w:rPr>
          <w:rFonts w:ascii="Arial" w:hAnsi="Arial" w:cs="Arial"/>
          <w:noProof/>
          <w:lang w:val="af-ZA"/>
        </w:rPr>
        <w:tab/>
        <w:t xml:space="preserve">(a) &amp; (b) (i) &amp; (ii) Nil – </w:t>
      </w:r>
      <w:r w:rsidRPr="006861BC">
        <w:rPr>
          <w:rFonts w:ascii="Arial" w:hAnsi="Arial" w:cs="Arial"/>
          <w:b/>
          <w:noProof/>
          <w:lang w:val="af-ZA"/>
        </w:rPr>
        <w:t>the dti</w:t>
      </w:r>
      <w:r w:rsidRPr="00350D2D">
        <w:rPr>
          <w:rFonts w:ascii="Arial" w:hAnsi="Arial" w:cs="Arial"/>
          <w:noProof/>
          <w:lang w:val="af-ZA"/>
        </w:rPr>
        <w:t xml:space="preserve"> does not own land.</w:t>
      </w:r>
    </w:p>
    <w:p w14:paraId="46CCDC09" w14:textId="77777777" w:rsidR="00350D2D" w:rsidRDefault="00350D2D" w:rsidP="00350D2D">
      <w:pPr>
        <w:spacing w:before="100" w:beforeAutospacing="1" w:after="100" w:afterAutospacing="1"/>
        <w:ind w:left="720" w:hanging="720"/>
        <w:jc w:val="both"/>
        <w:rPr>
          <w:rFonts w:ascii="Arial" w:hAnsi="Arial" w:cs="Arial"/>
          <w:noProof/>
          <w:lang w:val="af-ZA"/>
        </w:rPr>
      </w:pPr>
    </w:p>
    <w:p w14:paraId="3C2231D7" w14:textId="77777777" w:rsidR="00350D2D" w:rsidRDefault="00350D2D" w:rsidP="00350D2D">
      <w:pPr>
        <w:spacing w:before="100" w:beforeAutospacing="1" w:after="100" w:afterAutospacing="1"/>
        <w:ind w:left="720" w:hanging="720"/>
        <w:jc w:val="both"/>
        <w:rPr>
          <w:rFonts w:ascii="Arial" w:hAnsi="Arial" w:cs="Arial"/>
          <w:noProof/>
          <w:lang w:val="af-ZA"/>
        </w:rPr>
      </w:pPr>
    </w:p>
    <w:p w14:paraId="06DEE684" w14:textId="77777777" w:rsidR="00350D2D" w:rsidRDefault="00350D2D" w:rsidP="00350D2D">
      <w:pPr>
        <w:spacing w:before="100" w:beforeAutospacing="1" w:after="100" w:afterAutospacing="1"/>
        <w:ind w:left="720" w:hanging="720"/>
        <w:jc w:val="both"/>
        <w:rPr>
          <w:rFonts w:ascii="Arial" w:hAnsi="Arial" w:cs="Arial"/>
          <w:noProof/>
          <w:lang w:val="af-ZA"/>
        </w:rPr>
      </w:pPr>
    </w:p>
    <w:p w14:paraId="303E0E86" w14:textId="77777777" w:rsidR="00350D2D" w:rsidRDefault="00350D2D" w:rsidP="00350D2D">
      <w:pPr>
        <w:spacing w:before="100" w:beforeAutospacing="1" w:after="100" w:afterAutospacing="1"/>
        <w:ind w:left="720" w:hanging="720"/>
        <w:jc w:val="both"/>
        <w:rPr>
          <w:rFonts w:ascii="Arial" w:hAnsi="Arial" w:cs="Arial"/>
          <w:noProof/>
          <w:lang w:val="af-ZA"/>
        </w:rPr>
      </w:pPr>
    </w:p>
    <w:p w14:paraId="57C009D6" w14:textId="77777777" w:rsidR="00350D2D" w:rsidRDefault="00350D2D" w:rsidP="00350D2D">
      <w:pPr>
        <w:spacing w:before="100" w:beforeAutospacing="1" w:after="100" w:afterAutospacing="1"/>
        <w:ind w:left="720" w:hanging="720"/>
        <w:jc w:val="both"/>
        <w:rPr>
          <w:rFonts w:ascii="Arial" w:hAnsi="Arial" w:cs="Arial"/>
          <w:noProof/>
          <w:lang w:val="af-ZA"/>
        </w:rPr>
      </w:pPr>
    </w:p>
    <w:p w14:paraId="7D464ACD" w14:textId="77777777" w:rsidR="00350D2D" w:rsidRDefault="00350D2D" w:rsidP="00350D2D">
      <w:pPr>
        <w:spacing w:before="100" w:beforeAutospacing="1" w:after="100" w:afterAutospacing="1"/>
        <w:ind w:left="720" w:hanging="720"/>
        <w:jc w:val="both"/>
        <w:rPr>
          <w:rFonts w:ascii="Arial" w:hAnsi="Arial" w:cs="Arial"/>
          <w:noProof/>
          <w:lang w:val="af-ZA"/>
        </w:rPr>
      </w:pPr>
    </w:p>
    <w:p w14:paraId="0CB0A88A" w14:textId="77777777" w:rsidR="00350D2D" w:rsidRPr="004428A3" w:rsidRDefault="00350D2D" w:rsidP="00350D2D">
      <w:pPr>
        <w:spacing w:before="100" w:beforeAutospacing="1" w:after="100" w:afterAutospacing="1"/>
        <w:ind w:left="720" w:hanging="720"/>
        <w:jc w:val="both"/>
        <w:rPr>
          <w:rFonts w:ascii="Arial" w:hAnsi="Arial" w:cs="Arial"/>
          <w:b/>
          <w:noProof/>
          <w:lang w:val="af-ZA"/>
        </w:rPr>
      </w:pPr>
      <w:r w:rsidRPr="004428A3">
        <w:rPr>
          <w:rFonts w:ascii="Arial" w:hAnsi="Arial" w:cs="Arial"/>
          <w:b/>
          <w:noProof/>
          <w:lang w:val="af-ZA"/>
        </w:rPr>
        <w:lastRenderedPageBreak/>
        <w:t>Response from the Entities</w:t>
      </w:r>
    </w:p>
    <w:p w14:paraId="703E7897" w14:textId="77777777" w:rsidR="00350D2D" w:rsidRPr="00350D2D" w:rsidRDefault="00350D2D" w:rsidP="00350D2D">
      <w:pPr>
        <w:spacing w:before="100" w:beforeAutospacing="1" w:after="100" w:afterAutospacing="1"/>
        <w:ind w:left="720" w:hanging="720"/>
        <w:jc w:val="both"/>
        <w:rPr>
          <w:rFonts w:ascii="Arial" w:hAnsi="Arial" w:cs="Arial"/>
          <w:noProof/>
          <w:lang w:val="af-ZA"/>
        </w:rPr>
      </w:pPr>
      <w:r>
        <w:rPr>
          <w:rFonts w:ascii="Arial" w:hAnsi="Arial" w:cs="Arial"/>
          <w:noProof/>
          <w:lang w:val="af-ZA"/>
        </w:rPr>
        <w:t xml:space="preserve">The South </w:t>
      </w:r>
      <w:r w:rsidR="00C570DF">
        <w:rPr>
          <w:rFonts w:ascii="Arial" w:hAnsi="Arial" w:cs="Arial"/>
          <w:noProof/>
          <w:lang w:val="af-ZA"/>
        </w:rPr>
        <w:t>African</w:t>
      </w:r>
      <w:r>
        <w:rPr>
          <w:rFonts w:ascii="Arial" w:hAnsi="Arial" w:cs="Arial"/>
          <w:noProof/>
          <w:lang w:val="af-ZA"/>
        </w:rPr>
        <w:t xml:space="preserve"> Bureau of Standards (SABS) did not repond to the question.</w:t>
      </w:r>
    </w:p>
    <w:tbl>
      <w:tblPr>
        <w:tblStyle w:val="TableGrid"/>
        <w:tblW w:w="15168" w:type="dxa"/>
        <w:tblInd w:w="-601" w:type="dxa"/>
        <w:tblLayout w:type="fixed"/>
        <w:tblLook w:val="04A0" w:firstRow="1" w:lastRow="0" w:firstColumn="1" w:lastColumn="0" w:noHBand="0" w:noVBand="1"/>
      </w:tblPr>
      <w:tblGrid>
        <w:gridCol w:w="1843"/>
        <w:gridCol w:w="1701"/>
        <w:gridCol w:w="1418"/>
        <w:gridCol w:w="1417"/>
        <w:gridCol w:w="1701"/>
        <w:gridCol w:w="1418"/>
        <w:gridCol w:w="1559"/>
        <w:gridCol w:w="1418"/>
        <w:gridCol w:w="1417"/>
        <w:gridCol w:w="1276"/>
      </w:tblGrid>
      <w:tr w:rsidR="0001650A" w:rsidRPr="006C4C0E" w14:paraId="05EC6F41" w14:textId="77777777" w:rsidTr="0001650A">
        <w:trPr>
          <w:tblHeader/>
        </w:trPr>
        <w:tc>
          <w:tcPr>
            <w:tcW w:w="1843" w:type="dxa"/>
            <w:shd w:val="clear" w:color="auto" w:fill="FFC000"/>
          </w:tcPr>
          <w:p w14:paraId="27A53D7B" w14:textId="77777777" w:rsidR="00CE24AD" w:rsidRPr="006C4C0E" w:rsidRDefault="00CE24AD" w:rsidP="00DA2651">
            <w:pPr>
              <w:spacing w:before="100" w:beforeAutospacing="1" w:after="0" w:line="259" w:lineRule="auto"/>
              <w:jc w:val="both"/>
              <w:outlineLvl w:val="0"/>
              <w:rPr>
                <w:rFonts w:ascii="Arial" w:hAnsi="Arial" w:cs="Arial"/>
                <w:b/>
              </w:rPr>
            </w:pPr>
            <w:r w:rsidRPr="006C4C0E">
              <w:rPr>
                <w:rFonts w:ascii="Arial" w:hAnsi="Arial" w:cs="Arial"/>
                <w:b/>
              </w:rPr>
              <w:t>Entity</w:t>
            </w:r>
          </w:p>
          <w:p w14:paraId="09345EA5" w14:textId="77777777" w:rsidR="00CE24AD" w:rsidRPr="006C4C0E" w:rsidRDefault="00CE24AD" w:rsidP="00DA2651">
            <w:pPr>
              <w:spacing w:after="100" w:afterAutospacing="1" w:line="259" w:lineRule="auto"/>
              <w:jc w:val="both"/>
              <w:outlineLvl w:val="0"/>
              <w:rPr>
                <w:rFonts w:ascii="Arial" w:hAnsi="Arial" w:cs="Arial"/>
                <w:b/>
              </w:rPr>
            </w:pPr>
          </w:p>
        </w:tc>
        <w:tc>
          <w:tcPr>
            <w:tcW w:w="1701" w:type="dxa"/>
            <w:shd w:val="clear" w:color="auto" w:fill="FFC000"/>
          </w:tcPr>
          <w:p w14:paraId="391F93F1" w14:textId="77777777" w:rsidR="00CE24AD" w:rsidRPr="006C4C0E" w:rsidRDefault="00CE24AD" w:rsidP="00DA2651">
            <w:pPr>
              <w:spacing w:before="100" w:beforeAutospacing="1" w:after="100" w:afterAutospacing="1" w:line="259" w:lineRule="auto"/>
              <w:jc w:val="both"/>
              <w:outlineLvl w:val="0"/>
              <w:rPr>
                <w:rFonts w:ascii="Arial" w:hAnsi="Arial" w:cs="Arial"/>
                <w:b/>
              </w:rPr>
            </w:pPr>
            <w:r>
              <w:rPr>
                <w:rFonts w:ascii="Arial" w:hAnsi="Arial" w:cs="Arial"/>
                <w:b/>
              </w:rPr>
              <w:t>(1)</w:t>
            </w:r>
            <w:r w:rsidRPr="006C4C0E">
              <w:rPr>
                <w:rFonts w:ascii="Arial" w:hAnsi="Arial" w:cs="Arial"/>
                <w:b/>
              </w:rPr>
              <w:t>(a)</w:t>
            </w:r>
          </w:p>
        </w:tc>
        <w:tc>
          <w:tcPr>
            <w:tcW w:w="1418" w:type="dxa"/>
            <w:shd w:val="clear" w:color="auto" w:fill="FFC000"/>
          </w:tcPr>
          <w:p w14:paraId="0B7B60A4" w14:textId="77777777" w:rsidR="00CE24AD" w:rsidRPr="006C4C0E" w:rsidRDefault="00CE24AD" w:rsidP="00BE55BB">
            <w:pPr>
              <w:jc w:val="both"/>
              <w:rPr>
                <w:rFonts w:ascii="Arial" w:hAnsi="Arial" w:cs="Arial"/>
              </w:rPr>
            </w:pPr>
            <w:r w:rsidRPr="006C4C0E">
              <w:rPr>
                <w:rFonts w:ascii="Arial" w:hAnsi="Arial" w:cs="Arial"/>
                <w:b/>
              </w:rPr>
              <w:t>(a)(</w:t>
            </w:r>
            <w:proofErr w:type="spellStart"/>
            <w:r w:rsidRPr="006C4C0E">
              <w:rPr>
                <w:rFonts w:ascii="Arial" w:hAnsi="Arial" w:cs="Arial"/>
                <w:b/>
              </w:rPr>
              <w:t>i</w:t>
            </w:r>
            <w:proofErr w:type="spellEnd"/>
            <w:r w:rsidRPr="006C4C0E">
              <w:rPr>
                <w:rFonts w:ascii="Arial" w:hAnsi="Arial" w:cs="Arial"/>
                <w:b/>
              </w:rPr>
              <w:t>)</w:t>
            </w:r>
          </w:p>
        </w:tc>
        <w:tc>
          <w:tcPr>
            <w:tcW w:w="1417" w:type="dxa"/>
            <w:shd w:val="clear" w:color="auto" w:fill="FFC000"/>
          </w:tcPr>
          <w:p w14:paraId="1737301F" w14:textId="77777777" w:rsidR="00CE24AD" w:rsidRPr="006C4C0E" w:rsidRDefault="00CE24AD" w:rsidP="00DA2651">
            <w:pPr>
              <w:jc w:val="both"/>
              <w:rPr>
                <w:rFonts w:ascii="Arial" w:hAnsi="Arial" w:cs="Arial"/>
              </w:rPr>
            </w:pPr>
            <w:r>
              <w:rPr>
                <w:rFonts w:ascii="Arial" w:hAnsi="Arial" w:cs="Arial"/>
                <w:b/>
              </w:rPr>
              <w:t>(a</w:t>
            </w:r>
            <w:r w:rsidRPr="006C4C0E">
              <w:rPr>
                <w:rFonts w:ascii="Arial" w:hAnsi="Arial" w:cs="Arial"/>
                <w:b/>
              </w:rPr>
              <w:t>)(i</w:t>
            </w:r>
            <w:r>
              <w:rPr>
                <w:rFonts w:ascii="Arial" w:hAnsi="Arial" w:cs="Arial"/>
                <w:b/>
              </w:rPr>
              <w:t>i</w:t>
            </w:r>
            <w:r w:rsidRPr="006C4C0E">
              <w:rPr>
                <w:rFonts w:ascii="Arial" w:hAnsi="Arial" w:cs="Arial"/>
                <w:b/>
              </w:rPr>
              <w:t>)</w:t>
            </w:r>
          </w:p>
        </w:tc>
        <w:tc>
          <w:tcPr>
            <w:tcW w:w="1701" w:type="dxa"/>
            <w:shd w:val="clear" w:color="auto" w:fill="FFC000"/>
          </w:tcPr>
          <w:p w14:paraId="3B3DE61C" w14:textId="77777777" w:rsidR="00CE24AD" w:rsidRPr="006C4C0E" w:rsidRDefault="00CE24AD" w:rsidP="00DA2651">
            <w:pPr>
              <w:jc w:val="both"/>
              <w:rPr>
                <w:rFonts w:ascii="Arial" w:hAnsi="Arial" w:cs="Arial"/>
              </w:rPr>
            </w:pPr>
            <w:r w:rsidRPr="006C4C0E">
              <w:rPr>
                <w:rFonts w:ascii="Arial" w:hAnsi="Arial" w:cs="Arial"/>
                <w:b/>
              </w:rPr>
              <w:t>(b)</w:t>
            </w:r>
            <w:r>
              <w:rPr>
                <w:rFonts w:ascii="Arial" w:hAnsi="Arial" w:cs="Arial"/>
                <w:b/>
              </w:rPr>
              <w:t>(</w:t>
            </w:r>
            <w:proofErr w:type="spellStart"/>
            <w:r>
              <w:rPr>
                <w:rFonts w:ascii="Arial" w:hAnsi="Arial" w:cs="Arial"/>
                <w:b/>
              </w:rPr>
              <w:t>i</w:t>
            </w:r>
            <w:proofErr w:type="spellEnd"/>
            <w:r w:rsidRPr="006C4C0E">
              <w:rPr>
                <w:rFonts w:ascii="Arial" w:hAnsi="Arial" w:cs="Arial"/>
                <w:b/>
              </w:rPr>
              <w:t>)</w:t>
            </w:r>
          </w:p>
        </w:tc>
        <w:tc>
          <w:tcPr>
            <w:tcW w:w="1418" w:type="dxa"/>
            <w:shd w:val="clear" w:color="auto" w:fill="FFC000"/>
          </w:tcPr>
          <w:p w14:paraId="50B199A3" w14:textId="77777777" w:rsidR="00CE24AD" w:rsidRPr="006C4C0E" w:rsidRDefault="00CE24AD" w:rsidP="003247ED">
            <w:pPr>
              <w:jc w:val="both"/>
              <w:rPr>
                <w:rFonts w:ascii="Arial" w:hAnsi="Arial" w:cs="Arial"/>
                <w:b/>
              </w:rPr>
            </w:pPr>
            <w:r w:rsidRPr="006C4C0E">
              <w:rPr>
                <w:rFonts w:ascii="Arial" w:hAnsi="Arial" w:cs="Arial"/>
                <w:b/>
              </w:rPr>
              <w:t>(b)</w:t>
            </w:r>
            <w:r>
              <w:rPr>
                <w:rFonts w:ascii="Arial" w:hAnsi="Arial" w:cs="Arial"/>
                <w:b/>
              </w:rPr>
              <w:t>(i</w:t>
            </w:r>
            <w:r w:rsidRPr="006C4C0E">
              <w:rPr>
                <w:rFonts w:ascii="Arial" w:hAnsi="Arial" w:cs="Arial"/>
                <w:b/>
              </w:rPr>
              <w:t>i)</w:t>
            </w:r>
          </w:p>
        </w:tc>
        <w:tc>
          <w:tcPr>
            <w:tcW w:w="1559" w:type="dxa"/>
            <w:shd w:val="clear" w:color="auto" w:fill="FFC000"/>
          </w:tcPr>
          <w:p w14:paraId="485FD768" w14:textId="77777777" w:rsidR="00CE24AD" w:rsidRPr="006C4C0E" w:rsidRDefault="00CE24AD" w:rsidP="003247ED">
            <w:pPr>
              <w:jc w:val="both"/>
              <w:rPr>
                <w:rFonts w:ascii="Arial" w:hAnsi="Arial" w:cs="Arial"/>
                <w:b/>
              </w:rPr>
            </w:pPr>
            <w:r>
              <w:rPr>
                <w:rFonts w:ascii="Arial" w:hAnsi="Arial" w:cs="Arial"/>
                <w:b/>
              </w:rPr>
              <w:t>(2)(a)</w:t>
            </w:r>
          </w:p>
        </w:tc>
        <w:tc>
          <w:tcPr>
            <w:tcW w:w="1418" w:type="dxa"/>
            <w:shd w:val="clear" w:color="auto" w:fill="FFC000"/>
          </w:tcPr>
          <w:p w14:paraId="1FD79EC7" w14:textId="77777777" w:rsidR="00CE24AD" w:rsidRPr="006C4C0E" w:rsidRDefault="00CE24AD" w:rsidP="00CE24AD">
            <w:pPr>
              <w:jc w:val="both"/>
              <w:rPr>
                <w:rFonts w:ascii="Arial" w:hAnsi="Arial" w:cs="Arial"/>
                <w:b/>
              </w:rPr>
            </w:pPr>
            <w:r>
              <w:rPr>
                <w:rFonts w:ascii="Arial" w:hAnsi="Arial" w:cs="Arial"/>
                <w:b/>
              </w:rPr>
              <w:t>(2)(b)(</w:t>
            </w:r>
            <w:proofErr w:type="spellStart"/>
            <w:r>
              <w:rPr>
                <w:rFonts w:ascii="Arial" w:hAnsi="Arial" w:cs="Arial"/>
                <w:b/>
              </w:rPr>
              <w:t>i</w:t>
            </w:r>
            <w:proofErr w:type="spellEnd"/>
            <w:r>
              <w:rPr>
                <w:rFonts w:ascii="Arial" w:hAnsi="Arial" w:cs="Arial"/>
                <w:b/>
              </w:rPr>
              <w:t>)</w:t>
            </w:r>
          </w:p>
        </w:tc>
        <w:tc>
          <w:tcPr>
            <w:tcW w:w="1417" w:type="dxa"/>
            <w:shd w:val="clear" w:color="auto" w:fill="FFC000"/>
          </w:tcPr>
          <w:p w14:paraId="2DF304A5" w14:textId="77777777" w:rsidR="00CE24AD" w:rsidRPr="006C4C0E" w:rsidRDefault="00CE24AD" w:rsidP="003247ED">
            <w:pPr>
              <w:jc w:val="both"/>
              <w:rPr>
                <w:rFonts w:ascii="Arial" w:hAnsi="Arial" w:cs="Arial"/>
                <w:b/>
              </w:rPr>
            </w:pPr>
            <w:r>
              <w:rPr>
                <w:rFonts w:ascii="Arial" w:hAnsi="Arial" w:cs="Arial"/>
                <w:b/>
              </w:rPr>
              <w:t>(2)(ii)(aa)</w:t>
            </w:r>
          </w:p>
        </w:tc>
        <w:tc>
          <w:tcPr>
            <w:tcW w:w="1276" w:type="dxa"/>
            <w:shd w:val="clear" w:color="auto" w:fill="FFC000"/>
          </w:tcPr>
          <w:p w14:paraId="5F060B4D" w14:textId="77777777" w:rsidR="00CE24AD" w:rsidRDefault="00CE24AD" w:rsidP="003247ED">
            <w:pPr>
              <w:jc w:val="both"/>
              <w:rPr>
                <w:rFonts w:ascii="Arial" w:hAnsi="Arial" w:cs="Arial"/>
                <w:b/>
              </w:rPr>
            </w:pPr>
            <w:r>
              <w:rPr>
                <w:rFonts w:ascii="Arial" w:hAnsi="Arial" w:cs="Arial"/>
                <w:b/>
              </w:rPr>
              <w:t>(2)(ii)(bb</w:t>
            </w:r>
            <w:r w:rsidRPr="00CE24AD">
              <w:rPr>
                <w:rFonts w:ascii="Arial" w:hAnsi="Arial" w:cs="Arial"/>
                <w:b/>
              </w:rPr>
              <w:t>)</w:t>
            </w:r>
          </w:p>
        </w:tc>
      </w:tr>
      <w:tr w:rsidR="0001650A" w:rsidRPr="006C4C0E" w14:paraId="6731661A" w14:textId="77777777" w:rsidTr="004428A3">
        <w:trPr>
          <w:trHeight w:val="1872"/>
        </w:trPr>
        <w:tc>
          <w:tcPr>
            <w:tcW w:w="1843" w:type="dxa"/>
            <w:shd w:val="clear" w:color="auto" w:fill="FFFFFF" w:themeFill="background1"/>
          </w:tcPr>
          <w:p w14:paraId="5A74C1C4" w14:textId="77777777" w:rsidR="00CE24AD" w:rsidRPr="00CE24AD" w:rsidRDefault="00CE24AD" w:rsidP="001A002A">
            <w:pPr>
              <w:rPr>
                <w:rFonts w:ascii="Arial" w:hAnsi="Arial" w:cs="Arial"/>
                <w:b/>
              </w:rPr>
            </w:pPr>
            <w:r w:rsidRPr="00CE24AD">
              <w:rPr>
                <w:rFonts w:ascii="Arial" w:hAnsi="Arial" w:cs="Arial"/>
                <w:b/>
              </w:rPr>
              <w:t>National Regulator For Compulsory Specifications (NRCS)</w:t>
            </w:r>
          </w:p>
        </w:tc>
        <w:tc>
          <w:tcPr>
            <w:tcW w:w="1701" w:type="dxa"/>
            <w:shd w:val="clear" w:color="auto" w:fill="FFFFFF" w:themeFill="background1"/>
          </w:tcPr>
          <w:p w14:paraId="4C3A5C09" w14:textId="77777777" w:rsidR="00CE24AD" w:rsidRPr="00CE24AD" w:rsidRDefault="00CE24AD" w:rsidP="001A002A">
            <w:pPr>
              <w:rPr>
                <w:rFonts w:ascii="Arial" w:hAnsi="Arial" w:cs="Arial"/>
              </w:rPr>
            </w:pPr>
            <w:r w:rsidRPr="00CE24AD">
              <w:rPr>
                <w:rFonts w:ascii="Arial" w:hAnsi="Arial" w:cs="Arial"/>
              </w:rPr>
              <w:t>16 486m2 – Office Building. Building undergoing renovations for NRCS Office Use.</w:t>
            </w:r>
          </w:p>
        </w:tc>
        <w:tc>
          <w:tcPr>
            <w:tcW w:w="1418" w:type="dxa"/>
            <w:shd w:val="clear" w:color="auto" w:fill="FFFFFF" w:themeFill="background1"/>
          </w:tcPr>
          <w:p w14:paraId="75E9AB52" w14:textId="77777777" w:rsidR="00CE24AD" w:rsidRPr="00CE24AD" w:rsidRDefault="00CE24AD" w:rsidP="001A002A">
            <w:pPr>
              <w:rPr>
                <w:rFonts w:ascii="Arial" w:hAnsi="Arial" w:cs="Arial"/>
              </w:rPr>
            </w:pPr>
            <w:r w:rsidRPr="00CE24AD">
              <w:rPr>
                <w:rFonts w:ascii="Arial" w:hAnsi="Arial" w:cs="Arial"/>
              </w:rPr>
              <w:t>Not applicable</w:t>
            </w:r>
          </w:p>
        </w:tc>
        <w:tc>
          <w:tcPr>
            <w:tcW w:w="1417" w:type="dxa"/>
            <w:shd w:val="clear" w:color="auto" w:fill="FFFFFF" w:themeFill="background1"/>
          </w:tcPr>
          <w:p w14:paraId="205E51C4" w14:textId="77777777" w:rsidR="00CE24AD" w:rsidRPr="00CE24AD" w:rsidRDefault="00CE24AD" w:rsidP="001A002A">
            <w:pPr>
              <w:rPr>
                <w:rFonts w:ascii="Arial" w:hAnsi="Arial" w:cs="Arial"/>
              </w:rPr>
            </w:pPr>
            <w:r w:rsidRPr="00CE24AD">
              <w:rPr>
                <w:rFonts w:ascii="Arial" w:hAnsi="Arial" w:cs="Arial"/>
              </w:rPr>
              <w:t>Not applicable</w:t>
            </w:r>
          </w:p>
        </w:tc>
        <w:tc>
          <w:tcPr>
            <w:tcW w:w="1701" w:type="dxa"/>
            <w:shd w:val="clear" w:color="auto" w:fill="FFFFFF" w:themeFill="background1"/>
          </w:tcPr>
          <w:p w14:paraId="5D73921C" w14:textId="77777777" w:rsidR="00CE24AD" w:rsidRPr="00CE24AD" w:rsidRDefault="00CE24AD" w:rsidP="001A002A">
            <w:pPr>
              <w:rPr>
                <w:rFonts w:ascii="Arial" w:hAnsi="Arial" w:cs="Arial"/>
              </w:rPr>
            </w:pPr>
            <w:r w:rsidRPr="00CE24AD">
              <w:rPr>
                <w:rFonts w:ascii="Arial" w:hAnsi="Arial" w:cs="Arial"/>
              </w:rPr>
              <w:t>Port Elizabeth</w:t>
            </w:r>
          </w:p>
        </w:tc>
        <w:tc>
          <w:tcPr>
            <w:tcW w:w="1418" w:type="dxa"/>
            <w:shd w:val="clear" w:color="auto" w:fill="FFFFFF" w:themeFill="background1"/>
          </w:tcPr>
          <w:p w14:paraId="35B92812" w14:textId="77777777" w:rsidR="00CE24AD" w:rsidRPr="00CE24AD" w:rsidRDefault="008963DD" w:rsidP="001A002A">
            <w:pPr>
              <w:rPr>
                <w:rFonts w:ascii="Arial" w:hAnsi="Arial" w:cs="Arial"/>
              </w:rPr>
            </w:pPr>
            <w:r w:rsidRPr="008963DD">
              <w:rPr>
                <w:rFonts w:ascii="Arial" w:hAnsi="Arial" w:cs="Arial"/>
              </w:rPr>
              <w:t>Not applicable</w:t>
            </w:r>
          </w:p>
        </w:tc>
        <w:tc>
          <w:tcPr>
            <w:tcW w:w="1559" w:type="dxa"/>
            <w:shd w:val="clear" w:color="auto" w:fill="FFFFFF" w:themeFill="background1"/>
          </w:tcPr>
          <w:p w14:paraId="1B430399" w14:textId="77777777" w:rsidR="00CE24AD" w:rsidRPr="00CE24AD" w:rsidRDefault="00CE24AD" w:rsidP="001A002A">
            <w:pPr>
              <w:rPr>
                <w:rFonts w:ascii="Arial" w:hAnsi="Arial" w:cs="Arial"/>
              </w:rPr>
            </w:pPr>
            <w:r w:rsidRPr="00CE24AD">
              <w:rPr>
                <w:rFonts w:ascii="Arial" w:hAnsi="Arial" w:cs="Arial"/>
              </w:rPr>
              <w:t>No Land leased to third parties</w:t>
            </w:r>
          </w:p>
        </w:tc>
        <w:tc>
          <w:tcPr>
            <w:tcW w:w="1418" w:type="dxa"/>
            <w:shd w:val="clear" w:color="auto" w:fill="FFFFFF" w:themeFill="background1"/>
          </w:tcPr>
          <w:p w14:paraId="74EDBBE0" w14:textId="77777777" w:rsidR="00CE24AD" w:rsidRPr="00CE24AD" w:rsidRDefault="00CE24AD" w:rsidP="001A002A">
            <w:pPr>
              <w:rPr>
                <w:rFonts w:ascii="Arial" w:hAnsi="Arial" w:cs="Arial"/>
              </w:rPr>
            </w:pPr>
            <w:r w:rsidRPr="00CE24AD">
              <w:rPr>
                <w:rFonts w:ascii="Arial" w:hAnsi="Arial" w:cs="Arial"/>
              </w:rPr>
              <w:t>Not applicable</w:t>
            </w:r>
          </w:p>
        </w:tc>
        <w:tc>
          <w:tcPr>
            <w:tcW w:w="1417" w:type="dxa"/>
            <w:shd w:val="clear" w:color="auto" w:fill="FFFFFF" w:themeFill="background1"/>
          </w:tcPr>
          <w:p w14:paraId="5F4D8286" w14:textId="77777777" w:rsidR="00CE24AD" w:rsidRPr="00CE24AD" w:rsidRDefault="00CE24AD" w:rsidP="001A002A">
            <w:pPr>
              <w:rPr>
                <w:rFonts w:ascii="Arial" w:hAnsi="Arial" w:cs="Arial"/>
              </w:rPr>
            </w:pPr>
            <w:r w:rsidRPr="00CE24AD">
              <w:rPr>
                <w:rFonts w:ascii="Arial" w:hAnsi="Arial" w:cs="Arial"/>
              </w:rPr>
              <w:t>Not applicable</w:t>
            </w:r>
          </w:p>
        </w:tc>
        <w:tc>
          <w:tcPr>
            <w:tcW w:w="1276" w:type="dxa"/>
            <w:shd w:val="clear" w:color="auto" w:fill="FFFFFF" w:themeFill="background1"/>
          </w:tcPr>
          <w:p w14:paraId="3B953C27" w14:textId="77777777" w:rsidR="00CE24AD" w:rsidRPr="00CE24AD" w:rsidRDefault="00CE24AD" w:rsidP="001A002A">
            <w:pPr>
              <w:rPr>
                <w:rFonts w:ascii="Arial" w:hAnsi="Arial" w:cs="Arial"/>
              </w:rPr>
            </w:pPr>
            <w:r w:rsidRPr="00CE24AD">
              <w:rPr>
                <w:rFonts w:ascii="Arial" w:hAnsi="Arial" w:cs="Arial"/>
              </w:rPr>
              <w:t>Not applicable</w:t>
            </w:r>
          </w:p>
        </w:tc>
      </w:tr>
    </w:tbl>
    <w:p w14:paraId="6D26EDA7" w14:textId="77777777" w:rsidR="0001650A" w:rsidRDefault="0001650A" w:rsidP="003D2372">
      <w:pPr>
        <w:spacing w:after="0" w:line="240" w:lineRule="auto"/>
        <w:jc w:val="both"/>
        <w:rPr>
          <w:rFonts w:ascii="Arial" w:eastAsia="Arial Unicode MS" w:hAnsi="Arial" w:cs="Arial"/>
        </w:rPr>
      </w:pPr>
    </w:p>
    <w:sectPr w:rsidR="0001650A" w:rsidSect="00CE24AD">
      <w:footerReference w:type="default" r:id="rId7"/>
      <w:pgSz w:w="16838" w:h="11906"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E73D4" w14:textId="77777777" w:rsidR="002B5FB9" w:rsidRDefault="002B5FB9" w:rsidP="00EC79E9">
      <w:pPr>
        <w:spacing w:after="0" w:line="240" w:lineRule="auto"/>
      </w:pPr>
      <w:r>
        <w:separator/>
      </w:r>
    </w:p>
  </w:endnote>
  <w:endnote w:type="continuationSeparator" w:id="0">
    <w:p w14:paraId="339AFC02" w14:textId="77777777" w:rsidR="002B5FB9" w:rsidRDefault="002B5FB9" w:rsidP="00EC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86016409"/>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55077057" w14:textId="77777777" w:rsidR="00BF5261" w:rsidRPr="00EC79E9" w:rsidRDefault="00BF5261">
            <w:pPr>
              <w:pStyle w:val="Footer"/>
              <w:jc w:val="right"/>
              <w:rPr>
                <w:rFonts w:ascii="Arial" w:hAnsi="Arial" w:cs="Arial"/>
                <w:sz w:val="20"/>
                <w:szCs w:val="20"/>
              </w:rPr>
            </w:pPr>
            <w:r w:rsidRPr="00EC79E9">
              <w:rPr>
                <w:rFonts w:ascii="Arial" w:hAnsi="Arial" w:cs="Arial"/>
                <w:sz w:val="20"/>
                <w:szCs w:val="20"/>
              </w:rPr>
              <w:t xml:space="preserve">Page </w:t>
            </w:r>
            <w:r w:rsidRPr="00EC79E9">
              <w:rPr>
                <w:rFonts w:ascii="Arial" w:hAnsi="Arial" w:cs="Arial"/>
                <w:b/>
                <w:bCs/>
                <w:sz w:val="20"/>
                <w:szCs w:val="20"/>
              </w:rPr>
              <w:fldChar w:fldCharType="begin"/>
            </w:r>
            <w:r w:rsidRPr="00EC79E9">
              <w:rPr>
                <w:rFonts w:ascii="Arial" w:hAnsi="Arial" w:cs="Arial"/>
                <w:b/>
                <w:bCs/>
                <w:sz w:val="20"/>
                <w:szCs w:val="20"/>
              </w:rPr>
              <w:instrText xml:space="preserve"> PAGE </w:instrText>
            </w:r>
            <w:r w:rsidRPr="00EC79E9">
              <w:rPr>
                <w:rFonts w:ascii="Arial" w:hAnsi="Arial" w:cs="Arial"/>
                <w:b/>
                <w:bCs/>
                <w:sz w:val="20"/>
                <w:szCs w:val="20"/>
              </w:rPr>
              <w:fldChar w:fldCharType="separate"/>
            </w:r>
            <w:r w:rsidR="00B95BF2">
              <w:rPr>
                <w:rFonts w:ascii="Arial" w:hAnsi="Arial" w:cs="Arial"/>
                <w:b/>
                <w:bCs/>
                <w:noProof/>
                <w:sz w:val="20"/>
                <w:szCs w:val="20"/>
              </w:rPr>
              <w:t>2</w:t>
            </w:r>
            <w:r w:rsidRPr="00EC79E9">
              <w:rPr>
                <w:rFonts w:ascii="Arial" w:hAnsi="Arial" w:cs="Arial"/>
                <w:b/>
                <w:bCs/>
                <w:sz w:val="20"/>
                <w:szCs w:val="20"/>
              </w:rPr>
              <w:fldChar w:fldCharType="end"/>
            </w:r>
            <w:r w:rsidRPr="00EC79E9">
              <w:rPr>
                <w:rFonts w:ascii="Arial" w:hAnsi="Arial" w:cs="Arial"/>
                <w:sz w:val="20"/>
                <w:szCs w:val="20"/>
              </w:rPr>
              <w:t xml:space="preserve"> of </w:t>
            </w:r>
            <w:r w:rsidRPr="00EC79E9">
              <w:rPr>
                <w:rFonts w:ascii="Arial" w:hAnsi="Arial" w:cs="Arial"/>
                <w:b/>
                <w:bCs/>
                <w:sz w:val="20"/>
                <w:szCs w:val="20"/>
              </w:rPr>
              <w:fldChar w:fldCharType="begin"/>
            </w:r>
            <w:r w:rsidRPr="00EC79E9">
              <w:rPr>
                <w:rFonts w:ascii="Arial" w:hAnsi="Arial" w:cs="Arial"/>
                <w:b/>
                <w:bCs/>
                <w:sz w:val="20"/>
                <w:szCs w:val="20"/>
              </w:rPr>
              <w:instrText xml:space="preserve"> NUMPAGES  </w:instrText>
            </w:r>
            <w:r w:rsidRPr="00EC79E9">
              <w:rPr>
                <w:rFonts w:ascii="Arial" w:hAnsi="Arial" w:cs="Arial"/>
                <w:b/>
                <w:bCs/>
                <w:sz w:val="20"/>
                <w:szCs w:val="20"/>
              </w:rPr>
              <w:fldChar w:fldCharType="separate"/>
            </w:r>
            <w:r w:rsidR="00B95BF2">
              <w:rPr>
                <w:rFonts w:ascii="Arial" w:hAnsi="Arial" w:cs="Arial"/>
                <w:b/>
                <w:bCs/>
                <w:noProof/>
                <w:sz w:val="20"/>
                <w:szCs w:val="20"/>
              </w:rPr>
              <w:t>2</w:t>
            </w:r>
            <w:r w:rsidRPr="00EC79E9">
              <w:rPr>
                <w:rFonts w:ascii="Arial" w:hAnsi="Arial" w:cs="Arial"/>
                <w:b/>
                <w:bCs/>
                <w:sz w:val="20"/>
                <w:szCs w:val="20"/>
              </w:rPr>
              <w:fldChar w:fldCharType="end"/>
            </w:r>
          </w:p>
        </w:sdtContent>
      </w:sdt>
    </w:sdtContent>
  </w:sdt>
  <w:p w14:paraId="196DA9B3" w14:textId="77777777" w:rsidR="00BF5261" w:rsidRPr="00EC79E9" w:rsidRDefault="00BF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E35B5" w14:textId="77777777" w:rsidR="002B5FB9" w:rsidRDefault="002B5FB9" w:rsidP="00EC79E9">
      <w:pPr>
        <w:spacing w:after="0" w:line="240" w:lineRule="auto"/>
      </w:pPr>
      <w:r>
        <w:separator/>
      </w:r>
    </w:p>
  </w:footnote>
  <w:footnote w:type="continuationSeparator" w:id="0">
    <w:p w14:paraId="1C421096" w14:textId="77777777" w:rsidR="002B5FB9" w:rsidRDefault="002B5FB9" w:rsidP="00EC7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5F"/>
    <w:rsid w:val="0001650A"/>
    <w:rsid w:val="000E652C"/>
    <w:rsid w:val="00132D47"/>
    <w:rsid w:val="0019505E"/>
    <w:rsid w:val="002302D4"/>
    <w:rsid w:val="002A390D"/>
    <w:rsid w:val="002B328F"/>
    <w:rsid w:val="002B5FB9"/>
    <w:rsid w:val="00317404"/>
    <w:rsid w:val="003247ED"/>
    <w:rsid w:val="00350D2D"/>
    <w:rsid w:val="003D2372"/>
    <w:rsid w:val="004157F9"/>
    <w:rsid w:val="004428A3"/>
    <w:rsid w:val="00443396"/>
    <w:rsid w:val="00473C88"/>
    <w:rsid w:val="0049023F"/>
    <w:rsid w:val="00490D5F"/>
    <w:rsid w:val="004D0A4E"/>
    <w:rsid w:val="00505B24"/>
    <w:rsid w:val="005B0C91"/>
    <w:rsid w:val="005C2F7A"/>
    <w:rsid w:val="005D4A73"/>
    <w:rsid w:val="006861BC"/>
    <w:rsid w:val="006902DE"/>
    <w:rsid w:val="006C1AEF"/>
    <w:rsid w:val="006C4C0E"/>
    <w:rsid w:val="007139C4"/>
    <w:rsid w:val="00717980"/>
    <w:rsid w:val="00724836"/>
    <w:rsid w:val="00730140"/>
    <w:rsid w:val="00762841"/>
    <w:rsid w:val="007B6380"/>
    <w:rsid w:val="008667ED"/>
    <w:rsid w:val="008963DD"/>
    <w:rsid w:val="008E67C7"/>
    <w:rsid w:val="009165AC"/>
    <w:rsid w:val="0092650C"/>
    <w:rsid w:val="00A12387"/>
    <w:rsid w:val="00A87E22"/>
    <w:rsid w:val="00A911FC"/>
    <w:rsid w:val="00B06787"/>
    <w:rsid w:val="00B54FCB"/>
    <w:rsid w:val="00B865E6"/>
    <w:rsid w:val="00B95BF2"/>
    <w:rsid w:val="00BA3D04"/>
    <w:rsid w:val="00BE55BB"/>
    <w:rsid w:val="00BF5261"/>
    <w:rsid w:val="00C570DF"/>
    <w:rsid w:val="00CB3D98"/>
    <w:rsid w:val="00CE24AD"/>
    <w:rsid w:val="00D00C5E"/>
    <w:rsid w:val="00D51E5C"/>
    <w:rsid w:val="00D728CF"/>
    <w:rsid w:val="00D9406A"/>
    <w:rsid w:val="00DA2651"/>
    <w:rsid w:val="00E62234"/>
    <w:rsid w:val="00E749BA"/>
    <w:rsid w:val="00EC79E9"/>
    <w:rsid w:val="00EF3395"/>
    <w:rsid w:val="00F95A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6695D"/>
  <w15:docId w15:val="{2C8753E9-8F07-4563-B2A8-914C43E5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5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88"/>
    <w:rPr>
      <w:rFonts w:ascii="Tahoma" w:hAnsi="Tahoma" w:cs="Tahoma"/>
      <w:sz w:val="16"/>
      <w:szCs w:val="16"/>
    </w:rPr>
  </w:style>
  <w:style w:type="paragraph" w:styleId="Header">
    <w:name w:val="header"/>
    <w:basedOn w:val="Normal"/>
    <w:link w:val="HeaderChar"/>
    <w:uiPriority w:val="99"/>
    <w:unhideWhenUsed/>
    <w:rsid w:val="00EC7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E9"/>
  </w:style>
  <w:style w:type="paragraph" w:styleId="Footer">
    <w:name w:val="footer"/>
    <w:basedOn w:val="Normal"/>
    <w:link w:val="FooterChar"/>
    <w:uiPriority w:val="99"/>
    <w:unhideWhenUsed/>
    <w:rsid w:val="00EC7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Philby Lorraine Petersen</cp:lastModifiedBy>
  <cp:revision>3</cp:revision>
  <cp:lastPrinted>2018-05-31T13:23:00Z</cp:lastPrinted>
  <dcterms:created xsi:type="dcterms:W3CDTF">2018-05-31T12:46:00Z</dcterms:created>
  <dcterms:modified xsi:type="dcterms:W3CDTF">2018-05-31T13:23:00Z</dcterms:modified>
</cp:coreProperties>
</file>