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Pr="009357F9" w:rsidRDefault="00383286" w:rsidP="001F5F98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83286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364BE">
        <w:rPr>
          <w:u w:val="none"/>
        </w:rPr>
        <w:t>172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16CFE">
        <w:rPr>
          <w:rFonts w:ascii="Arial" w:hAnsi="Arial" w:cs="Arial"/>
          <w:b/>
          <w:bCs/>
        </w:rPr>
        <w:t>5 JULY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662BB">
        <w:rPr>
          <w:rFonts w:ascii="Arial" w:hAnsi="Arial" w:cs="Arial"/>
          <w:b/>
          <w:bCs/>
        </w:rPr>
        <w:t>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16CFE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3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A364BE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172</w:t>
      </w:r>
      <w:r w:rsidR="00C662BB">
        <w:rPr>
          <w:rFonts w:ascii="Arial" w:hAnsi="Arial" w:cs="Arial"/>
          <w:b/>
          <w:lang w:val="en-ZA"/>
        </w:rPr>
        <w:t xml:space="preserve">. </w:t>
      </w:r>
      <w:r w:rsidR="00C662BB" w:rsidRPr="00C662BB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>r J J Mcgluva</w:t>
      </w:r>
      <w:r w:rsidR="00C662BB" w:rsidRPr="00E94E57">
        <w:rPr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(DA</w:t>
      </w:r>
      <w:r w:rsidR="00C662BB" w:rsidRPr="00C662BB">
        <w:rPr>
          <w:rFonts w:ascii="Arial" w:hAnsi="Arial" w:cs="Arial"/>
          <w:b/>
          <w:lang w:val="en-US"/>
        </w:rPr>
        <w:t>)</w:t>
      </w:r>
      <w:r w:rsidR="00CB7F05" w:rsidRPr="00C662BB">
        <w:rPr>
          <w:rFonts w:ascii="Arial" w:hAnsi="Arial" w:cs="Arial"/>
          <w:b/>
          <w:lang w:val="en-ZA"/>
        </w:rPr>
        <w:t>)</w:t>
      </w:r>
      <w:r w:rsidR="00CB7F05" w:rsidRPr="00CB7F05">
        <w:rPr>
          <w:rFonts w:ascii="Arial" w:hAnsi="Arial" w:cs="Arial"/>
          <w:b/>
          <w:lang w:val="en-ZA"/>
        </w:rPr>
        <w:t xml:space="preserve"> to ask the Minister of Home Affairs:</w:t>
      </w:r>
    </w:p>
    <w:p w:rsidR="00CB7F05" w:rsidRPr="00157E48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7A2CAE" w:rsidRPr="007A2CAE" w:rsidRDefault="007A2CAE" w:rsidP="007A2CAE">
      <w:pPr>
        <w:spacing w:line="320" w:lineRule="exact"/>
        <w:ind w:left="540" w:hanging="540"/>
        <w:jc w:val="both"/>
        <w:rPr>
          <w:rFonts w:ascii="Arial" w:hAnsi="Arial" w:cs="Arial"/>
          <w:lang w:val="en-ZA"/>
        </w:rPr>
      </w:pPr>
      <w:r w:rsidRPr="007A2CAE">
        <w:rPr>
          <w:rFonts w:ascii="Arial" w:hAnsi="Arial" w:cs="Arial"/>
          <w:lang w:val="en-ZA"/>
        </w:rPr>
        <w:t>(1)</w:t>
      </w:r>
      <w:r w:rsidRPr="007A2CAE">
        <w:rPr>
          <w:rFonts w:ascii="Arial" w:hAnsi="Arial" w:cs="Arial"/>
          <w:lang w:val="en-ZA"/>
        </w:rPr>
        <w:tab/>
        <w:t>Whether, with reference to the fines that are imposed on airlines for bringing illegal foreigners to the Republic, his department will provide a breakdown of what total amount is owed by each airline in unpaid fines;</w:t>
      </w:r>
    </w:p>
    <w:p w:rsidR="007A2CAE" w:rsidRPr="007A2CAE" w:rsidRDefault="007A2CAE" w:rsidP="007A2CAE">
      <w:pPr>
        <w:spacing w:line="320" w:lineRule="exact"/>
        <w:ind w:left="540" w:hanging="540"/>
        <w:jc w:val="both"/>
        <w:rPr>
          <w:rFonts w:ascii="Arial" w:hAnsi="Arial" w:cs="Arial"/>
          <w:lang w:val="en-ZA"/>
        </w:rPr>
      </w:pPr>
      <w:r w:rsidRPr="007A2CAE">
        <w:rPr>
          <w:rFonts w:ascii="Arial" w:hAnsi="Arial" w:cs="Arial"/>
          <w:lang w:val="en-ZA"/>
        </w:rPr>
        <w:t>(2)</w:t>
      </w:r>
      <w:r w:rsidRPr="007A2CAE">
        <w:rPr>
          <w:rFonts w:ascii="Arial" w:hAnsi="Arial" w:cs="Arial"/>
          <w:lang w:val="en-ZA"/>
        </w:rPr>
        <w:tab/>
        <w:t>(a) what amount in fines is owed (i) for each person and (ii) by each airline and (b) since what date has the specified amounts been outstanding;</w:t>
      </w:r>
    </w:p>
    <w:p w:rsidR="007A2CAE" w:rsidRPr="007A2CAE" w:rsidRDefault="007A2CAE" w:rsidP="007A2CAE">
      <w:pPr>
        <w:spacing w:line="320" w:lineRule="exact"/>
        <w:ind w:left="540" w:hanging="540"/>
        <w:jc w:val="both"/>
        <w:rPr>
          <w:rFonts w:ascii="Arial" w:hAnsi="Arial" w:cs="Arial"/>
          <w:lang w:val="en-ZA"/>
        </w:rPr>
      </w:pPr>
      <w:r w:rsidRPr="007A2CAE">
        <w:rPr>
          <w:rFonts w:ascii="Arial" w:hAnsi="Arial" w:cs="Arial"/>
          <w:lang w:val="en-ZA"/>
        </w:rPr>
        <w:t>(3)</w:t>
      </w:r>
      <w:r w:rsidRPr="007A2CAE">
        <w:rPr>
          <w:rFonts w:ascii="Arial" w:hAnsi="Arial" w:cs="Arial"/>
          <w:lang w:val="en-ZA"/>
        </w:rPr>
        <w:tab/>
      </w:r>
      <w:proofErr w:type="gramStart"/>
      <w:r w:rsidRPr="007A2CAE">
        <w:rPr>
          <w:rFonts w:ascii="Arial" w:hAnsi="Arial" w:cs="Arial"/>
          <w:lang w:val="en-ZA"/>
        </w:rPr>
        <w:t>whether</w:t>
      </w:r>
      <w:proofErr w:type="gramEnd"/>
      <w:r w:rsidRPr="007A2CAE">
        <w:rPr>
          <w:rFonts w:ascii="Arial" w:hAnsi="Arial" w:cs="Arial"/>
          <w:lang w:val="en-ZA"/>
        </w:rPr>
        <w:t xml:space="preserve"> his department has made any arrangements with regard to any airline that is in arrears; if not, why not; if so, what are the relevant details;</w:t>
      </w:r>
    </w:p>
    <w:p w:rsidR="005F37D5" w:rsidRDefault="007A2CAE" w:rsidP="007A2CAE">
      <w:pPr>
        <w:spacing w:line="320" w:lineRule="exact"/>
        <w:ind w:left="540" w:hanging="540"/>
        <w:jc w:val="both"/>
        <w:rPr>
          <w:rFonts w:ascii="Arial" w:hAnsi="Arial" w:cs="Arial"/>
          <w:b/>
        </w:rPr>
      </w:pPr>
      <w:r w:rsidRPr="007A2CAE">
        <w:rPr>
          <w:rFonts w:ascii="Arial" w:hAnsi="Arial" w:cs="Arial"/>
          <w:lang w:val="en-ZA"/>
        </w:rPr>
        <w:t>(4)</w:t>
      </w:r>
      <w:r w:rsidRPr="007A2CAE">
        <w:rPr>
          <w:rFonts w:ascii="Arial" w:hAnsi="Arial" w:cs="Arial"/>
          <w:lang w:val="en-ZA"/>
        </w:rPr>
        <w:tab/>
      </w:r>
      <w:proofErr w:type="gramStart"/>
      <w:r w:rsidRPr="007A2CAE">
        <w:rPr>
          <w:rFonts w:ascii="Arial" w:hAnsi="Arial" w:cs="Arial"/>
          <w:lang w:val="en-ZA"/>
        </w:rPr>
        <w:t>whether</w:t>
      </w:r>
      <w:proofErr w:type="gramEnd"/>
      <w:r w:rsidRPr="007A2CAE">
        <w:rPr>
          <w:rFonts w:ascii="Arial" w:hAnsi="Arial" w:cs="Arial"/>
          <w:lang w:val="en-ZA"/>
        </w:rPr>
        <w:t xml:space="preserve"> his department has taken any action against any airline that is in arrears; if so, what are the relevant details?</w:t>
      </w:r>
      <w:r w:rsidRPr="007A2CAE">
        <w:rPr>
          <w:rFonts w:ascii="Arial" w:hAnsi="Arial" w:cs="Arial"/>
          <w:lang w:val="en-ZA"/>
        </w:rPr>
        <w:tab/>
      </w:r>
      <w:r w:rsidRPr="007A2CAE">
        <w:rPr>
          <w:rFonts w:ascii="Arial" w:hAnsi="Arial" w:cs="Arial"/>
          <w:lang w:val="en-ZA"/>
        </w:rPr>
        <w:tab/>
      </w:r>
      <w:r w:rsidRPr="007A2CAE">
        <w:rPr>
          <w:rFonts w:ascii="Arial" w:hAnsi="Arial" w:cs="Arial"/>
          <w:lang w:val="en-ZA"/>
        </w:rPr>
        <w:tab/>
      </w:r>
      <w:r w:rsidRPr="007A2CAE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7A2CAE">
        <w:rPr>
          <w:rFonts w:ascii="Arial" w:hAnsi="Arial" w:cs="Arial"/>
          <w:lang w:val="en-ZA"/>
        </w:rPr>
        <w:tab/>
        <w:t>NW1130E</w:t>
      </w:r>
    </w:p>
    <w:p w:rsidR="007A2CAE" w:rsidRDefault="007A2CAE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44D6A" w:rsidRPr="00E44D6A" w:rsidRDefault="00E44D6A" w:rsidP="00E44D6A">
      <w:pPr>
        <w:numPr>
          <w:ilvl w:val="0"/>
          <w:numId w:val="39"/>
        </w:numPr>
        <w:tabs>
          <w:tab w:val="left" w:pos="540"/>
        </w:tabs>
        <w:spacing w:line="320" w:lineRule="exact"/>
        <w:ind w:left="540" w:hanging="540"/>
        <w:jc w:val="both"/>
        <w:rPr>
          <w:rFonts w:ascii="Arial" w:hAnsi="Arial" w:cs="Arial"/>
          <w:lang w:val="en-ZA"/>
        </w:rPr>
      </w:pPr>
      <w:r w:rsidRPr="00E44D6A">
        <w:rPr>
          <w:rFonts w:ascii="Arial" w:hAnsi="Arial" w:cs="Arial"/>
          <w:lang w:val="en-ZA"/>
        </w:rPr>
        <w:t xml:space="preserve">Yes, conveyance fines are issued to airlines where such contraventions occur.  </w:t>
      </w:r>
    </w:p>
    <w:p w:rsidR="00E44D6A" w:rsidRP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</w:p>
    <w:p w:rsidR="00E44D6A" w:rsidRPr="00E44D6A" w:rsidRDefault="00E44D6A" w:rsidP="008A3E3B">
      <w:pPr>
        <w:tabs>
          <w:tab w:val="left" w:pos="432"/>
          <w:tab w:val="left" w:pos="864"/>
        </w:tabs>
        <w:spacing w:line="320" w:lineRule="exact"/>
        <w:ind w:left="540" w:hanging="540"/>
        <w:jc w:val="both"/>
        <w:rPr>
          <w:rFonts w:ascii="Arial" w:hAnsi="Arial" w:cs="Arial"/>
          <w:lang w:val="en-ZA"/>
        </w:rPr>
      </w:pPr>
      <w:r w:rsidRPr="00E44D6A">
        <w:rPr>
          <w:rFonts w:ascii="Arial" w:hAnsi="Arial" w:cs="Arial"/>
          <w:lang w:val="en-ZA"/>
        </w:rPr>
        <w:t>(2)(</w:t>
      </w:r>
      <w:proofErr w:type="gramStart"/>
      <w:r w:rsidRPr="00E44D6A">
        <w:rPr>
          <w:rFonts w:ascii="Arial" w:hAnsi="Arial" w:cs="Arial"/>
          <w:lang w:val="en-ZA"/>
        </w:rPr>
        <w:t>a-b</w:t>
      </w:r>
      <w:proofErr w:type="gramEnd"/>
      <w:r w:rsidRPr="00E44D6A">
        <w:rPr>
          <w:rFonts w:ascii="Arial" w:hAnsi="Arial" w:cs="Arial"/>
          <w:lang w:val="en-ZA"/>
        </w:rPr>
        <w:t>)</w:t>
      </w:r>
      <w:r w:rsidRPr="00E44D6A">
        <w:rPr>
          <w:rFonts w:ascii="Arial" w:hAnsi="Arial" w:cs="Arial"/>
          <w:lang w:val="en-ZA"/>
        </w:rPr>
        <w:tab/>
        <w:t>The breakdown of the fines, from highest to lowest, is contained in the table below:</w:t>
      </w:r>
    </w:p>
    <w:p w:rsidR="00E44D6A" w:rsidRP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</w:p>
    <w:tbl>
      <w:tblPr>
        <w:tblW w:w="4395" w:type="pct"/>
        <w:tblInd w:w="1408" w:type="dxa"/>
        <w:tblLook w:val="04A0"/>
      </w:tblPr>
      <w:tblGrid>
        <w:gridCol w:w="2510"/>
        <w:gridCol w:w="2693"/>
        <w:gridCol w:w="2376"/>
      </w:tblGrid>
      <w:tr w:rsidR="00E44D6A" w:rsidRPr="0079175A" w:rsidTr="0079175A">
        <w:trPr>
          <w:trHeight w:val="864"/>
        </w:trPr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E44D6A" w:rsidRPr="0079175A" w:rsidRDefault="00E44D6A" w:rsidP="008A3E3B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  <w:bCs/>
                <w:color w:val="FFFFFF"/>
                <w:lang w:val="en-US"/>
              </w:rPr>
            </w:pPr>
            <w:r w:rsidRPr="0079175A">
              <w:rPr>
                <w:rFonts w:ascii="Arial" w:hAnsi="Arial" w:cs="Arial"/>
                <w:bCs/>
                <w:color w:val="FFFFFF"/>
                <w:lang w:val="en-US"/>
              </w:rPr>
              <w:t>Conveyor</w:t>
            </w:r>
          </w:p>
        </w:tc>
        <w:tc>
          <w:tcPr>
            <w:tcW w:w="19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  <w:hideMark/>
          </w:tcPr>
          <w:p w:rsidR="00E44D6A" w:rsidRPr="0079175A" w:rsidRDefault="00E44D6A" w:rsidP="008A3E3B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  <w:bCs/>
                <w:color w:val="FFFFFF"/>
                <w:lang w:val="en-US"/>
              </w:rPr>
            </w:pPr>
            <w:r w:rsidRPr="0079175A">
              <w:rPr>
                <w:rFonts w:ascii="Arial" w:hAnsi="Arial" w:cs="Arial"/>
                <w:bCs/>
                <w:color w:val="FFFFFF"/>
                <w:lang w:val="en-US"/>
              </w:rPr>
              <w:t>Value of fines issued 50(3) for 2017/18</w:t>
            </w:r>
          </w:p>
        </w:tc>
        <w:tc>
          <w:tcPr>
            <w:tcW w:w="17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E44D6A" w:rsidRPr="0079175A" w:rsidRDefault="00E44D6A" w:rsidP="008A3E3B">
            <w:pPr>
              <w:tabs>
                <w:tab w:val="left" w:pos="432"/>
                <w:tab w:val="left" w:pos="864"/>
              </w:tabs>
              <w:spacing w:line="320" w:lineRule="exact"/>
              <w:rPr>
                <w:rFonts w:ascii="Arial" w:hAnsi="Arial" w:cs="Arial"/>
                <w:bCs/>
                <w:color w:val="FFFFFF"/>
                <w:lang w:val="en-US"/>
              </w:rPr>
            </w:pPr>
            <w:r w:rsidRPr="0079175A">
              <w:rPr>
                <w:rFonts w:ascii="Arial" w:hAnsi="Arial" w:cs="Arial"/>
                <w:bCs/>
                <w:color w:val="FFFFFF"/>
                <w:lang w:val="en-US"/>
              </w:rPr>
              <w:t>Value of fines issued 2016/17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EMIRATES AIRLINE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6 960 000,00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2 670 000,00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SAA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4 440 000,00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2 160 000,00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ETHIOPIAN AIRLINE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4 095 000,00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1 665 000,00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KENYA AIRLINE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2 340 000,00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390 000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BRITISH AIRWAYS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1 350 000,00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975 000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QATAR AIRLINE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1 335 000,00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435 000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RWANDA AIRLINE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1 215 000,00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225 000</w:t>
            </w:r>
          </w:p>
        </w:tc>
      </w:tr>
      <w:tr w:rsidR="00E44D6A" w:rsidRPr="00E44D6A" w:rsidTr="0079175A">
        <w:trPr>
          <w:trHeight w:val="288"/>
        </w:trPr>
        <w:tc>
          <w:tcPr>
            <w:tcW w:w="1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lastRenderedPageBreak/>
              <w:t>ETIHAD AIRLINE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 xml:space="preserve">              825 000,00 </w:t>
            </w: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D6A" w:rsidRPr="00E44D6A" w:rsidRDefault="00E44D6A" w:rsidP="00E44D6A">
            <w:pPr>
              <w:tabs>
                <w:tab w:val="left" w:pos="432"/>
                <w:tab w:val="left" w:pos="864"/>
              </w:tabs>
              <w:spacing w:line="320" w:lineRule="exact"/>
              <w:jc w:val="both"/>
              <w:rPr>
                <w:rFonts w:ascii="Arial" w:hAnsi="Arial" w:cs="Arial"/>
                <w:lang w:val="en-ZA"/>
              </w:rPr>
            </w:pPr>
            <w:r w:rsidRPr="00E44D6A">
              <w:rPr>
                <w:rFonts w:ascii="Arial" w:hAnsi="Arial" w:cs="Arial"/>
                <w:lang w:val="en-ZA"/>
              </w:rPr>
              <w:t>285 000</w:t>
            </w:r>
          </w:p>
        </w:tc>
      </w:tr>
    </w:tbl>
    <w:p w:rsidR="00E44D6A" w:rsidRPr="00E44D6A" w:rsidRDefault="00E44D6A" w:rsidP="00E44D6A">
      <w:pPr>
        <w:tabs>
          <w:tab w:val="left" w:pos="432"/>
          <w:tab w:val="left" w:pos="864"/>
        </w:tabs>
        <w:spacing w:line="320" w:lineRule="exact"/>
        <w:ind w:left="540"/>
        <w:jc w:val="both"/>
        <w:rPr>
          <w:rFonts w:ascii="Arial" w:hAnsi="Arial" w:cs="Arial"/>
          <w:lang w:val="en-ZA"/>
        </w:rPr>
      </w:pPr>
      <w:r w:rsidRPr="00E44D6A">
        <w:rPr>
          <w:rFonts w:ascii="Arial" w:hAnsi="Arial" w:cs="Arial"/>
          <w:lang w:val="en-ZA"/>
        </w:rPr>
        <w:t>Further detail in respect of the fines cannot be provided due to current challenges with the revenue management reconciliation mechanism. The Department is engaging the National Treasury with a view to implement improved measures, systems and revenue management (reconciliation) mechanism.</w:t>
      </w:r>
    </w:p>
    <w:p w:rsidR="00E44D6A" w:rsidRP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</w:p>
    <w:p w:rsidR="00E44D6A" w:rsidRP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  <w:r w:rsidRPr="00E44D6A">
        <w:rPr>
          <w:rFonts w:ascii="Arial" w:hAnsi="Arial" w:cs="Arial"/>
          <w:lang w:val="en-ZA"/>
        </w:rPr>
        <w:t xml:space="preserve"> </w:t>
      </w:r>
    </w:p>
    <w:p w:rsidR="00E44D6A" w:rsidRPr="00E44D6A" w:rsidRDefault="00E44D6A" w:rsidP="00E44D6A">
      <w:pPr>
        <w:numPr>
          <w:ilvl w:val="0"/>
          <w:numId w:val="40"/>
        </w:numPr>
        <w:tabs>
          <w:tab w:val="left" w:pos="540"/>
        </w:tabs>
        <w:spacing w:line="320" w:lineRule="exact"/>
        <w:ind w:left="540" w:hanging="5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</w:t>
      </w:r>
      <w:r w:rsidRPr="00E44D6A">
        <w:rPr>
          <w:rFonts w:ascii="Arial" w:hAnsi="Arial" w:cs="Arial"/>
          <w:lang w:val="en-ZA"/>
        </w:rPr>
        <w:t>o arrangements have been made with regards to the “arrears”</w:t>
      </w:r>
      <w:r>
        <w:rPr>
          <w:rFonts w:ascii="Arial" w:hAnsi="Arial" w:cs="Arial"/>
          <w:lang w:val="en-ZA"/>
        </w:rPr>
        <w:t xml:space="preserve"> as </w:t>
      </w:r>
      <w:r w:rsidRPr="00E44D6A">
        <w:rPr>
          <w:rFonts w:ascii="Arial" w:hAnsi="Arial" w:cs="Arial"/>
          <w:lang w:val="en-ZA"/>
        </w:rPr>
        <w:t>fines are not regarded as debt</w:t>
      </w:r>
      <w:r>
        <w:rPr>
          <w:rFonts w:ascii="Arial" w:hAnsi="Arial" w:cs="Arial"/>
          <w:lang w:val="en-ZA"/>
        </w:rPr>
        <w:t xml:space="preserve">. </w:t>
      </w:r>
      <w:r w:rsidRPr="00E44D6A">
        <w:rPr>
          <w:rFonts w:ascii="Arial" w:hAnsi="Arial" w:cs="Arial"/>
          <w:lang w:val="en-ZA"/>
        </w:rPr>
        <w:t xml:space="preserve">National Treasury indicated </w:t>
      </w:r>
      <w:r>
        <w:rPr>
          <w:rFonts w:ascii="Arial" w:hAnsi="Arial" w:cs="Arial"/>
          <w:lang w:val="en-ZA"/>
        </w:rPr>
        <w:t>i</w:t>
      </w:r>
      <w:r w:rsidRPr="00E44D6A">
        <w:rPr>
          <w:rFonts w:ascii="Arial" w:hAnsi="Arial" w:cs="Arial"/>
          <w:lang w:val="en-ZA"/>
        </w:rPr>
        <w:t>n a letter dated 15 May 2018</w:t>
      </w:r>
      <w:r>
        <w:rPr>
          <w:rFonts w:ascii="Arial" w:hAnsi="Arial" w:cs="Arial"/>
          <w:lang w:val="en-ZA"/>
        </w:rPr>
        <w:t xml:space="preserve"> </w:t>
      </w:r>
      <w:r w:rsidRPr="00E44D6A">
        <w:rPr>
          <w:rFonts w:ascii="Arial" w:hAnsi="Arial" w:cs="Arial"/>
          <w:lang w:val="en-ZA"/>
        </w:rPr>
        <w:t xml:space="preserve">that fines are not regarded as debt or revenue due to the Department since it is not money outstanding in respect of products or services rendered. </w:t>
      </w:r>
    </w:p>
    <w:p w:rsidR="00E44D6A" w:rsidRP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</w:p>
    <w:p w:rsidR="00E44D6A" w:rsidRPr="00E44D6A" w:rsidRDefault="00E44D6A" w:rsidP="00E44D6A">
      <w:pPr>
        <w:numPr>
          <w:ilvl w:val="0"/>
          <w:numId w:val="40"/>
        </w:numPr>
        <w:tabs>
          <w:tab w:val="left" w:pos="540"/>
        </w:tabs>
        <w:spacing w:line="320" w:lineRule="exact"/>
        <w:ind w:hanging="720"/>
        <w:jc w:val="both"/>
        <w:rPr>
          <w:rFonts w:ascii="Arial" w:hAnsi="Arial" w:cs="Arial"/>
          <w:lang w:val="en-ZA"/>
        </w:rPr>
      </w:pPr>
      <w:r w:rsidRPr="00E44D6A">
        <w:rPr>
          <w:rFonts w:ascii="Arial" w:hAnsi="Arial" w:cs="Arial"/>
          <w:lang w:val="en-ZA"/>
        </w:rPr>
        <w:t xml:space="preserve">No. </w:t>
      </w:r>
    </w:p>
    <w:p w:rsidR="00E44D6A" w:rsidRP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E44D6A" w:rsidRDefault="00E44D6A" w:rsidP="00E44D6A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E44D6A" w:rsidRPr="009357F9" w:rsidRDefault="00425E9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E44D6A" w:rsidRPr="009357F9" w:rsidSect="00E44D6A">
      <w:headerReference w:type="even" r:id="rId8"/>
      <w:headerReference w:type="default" r:id="rId9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46" w:rsidRDefault="00413346">
      <w:r>
        <w:separator/>
      </w:r>
    </w:p>
  </w:endnote>
  <w:endnote w:type="continuationSeparator" w:id="0">
    <w:p w:rsidR="00413346" w:rsidRDefault="0041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46" w:rsidRDefault="00413346">
      <w:r>
        <w:separator/>
      </w:r>
    </w:p>
  </w:footnote>
  <w:footnote w:type="continuationSeparator" w:id="0">
    <w:p w:rsidR="00413346" w:rsidRDefault="00413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2D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A89"/>
    <w:multiLevelType w:val="hybridMultilevel"/>
    <w:tmpl w:val="0432396A"/>
    <w:lvl w:ilvl="0" w:tplc="769A98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D755C"/>
    <w:multiLevelType w:val="hybridMultilevel"/>
    <w:tmpl w:val="46269AA2"/>
    <w:lvl w:ilvl="0" w:tplc="6E2E6F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22"/>
  </w:num>
  <w:num w:numId="5">
    <w:abstractNumId w:val="4"/>
  </w:num>
  <w:num w:numId="6">
    <w:abstractNumId w:val="21"/>
  </w:num>
  <w:num w:numId="7">
    <w:abstractNumId w:val="31"/>
  </w:num>
  <w:num w:numId="8">
    <w:abstractNumId w:val="37"/>
  </w:num>
  <w:num w:numId="9">
    <w:abstractNumId w:val="13"/>
  </w:num>
  <w:num w:numId="10">
    <w:abstractNumId w:val="35"/>
  </w:num>
  <w:num w:numId="11">
    <w:abstractNumId w:val="17"/>
  </w:num>
  <w:num w:numId="12">
    <w:abstractNumId w:val="8"/>
  </w:num>
  <w:num w:numId="13">
    <w:abstractNumId w:val="25"/>
  </w:num>
  <w:num w:numId="14">
    <w:abstractNumId w:val="34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0"/>
  </w:num>
  <w:num w:numId="20">
    <w:abstractNumId w:val="12"/>
  </w:num>
  <w:num w:numId="21">
    <w:abstractNumId w:val="28"/>
  </w:num>
  <w:num w:numId="22">
    <w:abstractNumId w:val="0"/>
  </w:num>
  <w:num w:numId="23">
    <w:abstractNumId w:val="11"/>
  </w:num>
  <w:num w:numId="24">
    <w:abstractNumId w:val="32"/>
  </w:num>
  <w:num w:numId="25">
    <w:abstractNumId w:val="5"/>
  </w:num>
  <w:num w:numId="26">
    <w:abstractNumId w:val="19"/>
  </w:num>
  <w:num w:numId="27">
    <w:abstractNumId w:val="24"/>
  </w:num>
  <w:num w:numId="28">
    <w:abstractNumId w:val="16"/>
  </w:num>
  <w:num w:numId="29">
    <w:abstractNumId w:val="29"/>
  </w:num>
  <w:num w:numId="30">
    <w:abstractNumId w:val="20"/>
  </w:num>
  <w:num w:numId="31">
    <w:abstractNumId w:val="10"/>
  </w:num>
  <w:num w:numId="32">
    <w:abstractNumId w:val="15"/>
  </w:num>
  <w:num w:numId="33">
    <w:abstractNumId w:val="23"/>
  </w:num>
  <w:num w:numId="34">
    <w:abstractNumId w:val="36"/>
  </w:num>
  <w:num w:numId="35">
    <w:abstractNumId w:val="1"/>
  </w:num>
  <w:num w:numId="36">
    <w:abstractNumId w:val="33"/>
  </w:num>
  <w:num w:numId="37">
    <w:abstractNumId w:val="9"/>
  </w:num>
  <w:num w:numId="38">
    <w:abstractNumId w:val="3"/>
  </w:num>
  <w:num w:numId="39">
    <w:abstractNumId w:val="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2D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46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B60"/>
    <w:rsid w:val="00FA13E4"/>
    <w:rsid w:val="00FA16BB"/>
    <w:rsid w:val="00FA217F"/>
    <w:rsid w:val="00FA2498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17F6-E5E7-4DCE-A7C0-42996E8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2019-07-16T13:20:00Z</cp:lastPrinted>
  <dcterms:created xsi:type="dcterms:W3CDTF">2019-07-25T12:15:00Z</dcterms:created>
  <dcterms:modified xsi:type="dcterms:W3CDTF">2019-07-25T12:15:00Z</dcterms:modified>
</cp:coreProperties>
</file>