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A" w:rsidRDefault="00EF35EA">
      <w:pPr>
        <w:rPr>
          <w:sz w:val="20"/>
          <w:szCs w:val="20"/>
        </w:rPr>
      </w:pPr>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AA1CE7">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482B63">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AA1CE7">
      <w:pPr>
        <w:ind w:left="284"/>
        <w:jc w:val="center"/>
        <w:rPr>
          <w:rFonts w:ascii="Tahoma" w:hAnsi="Tahoma" w:cs="Tahoma"/>
          <w:b/>
          <w:bCs/>
          <w:sz w:val="22"/>
          <w:szCs w:val="22"/>
          <w:lang w:val="en-ZA"/>
        </w:rPr>
      </w:pPr>
    </w:p>
    <w:p w:rsidR="006512FA" w:rsidRDefault="008960B2" w:rsidP="00AA1CE7">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041A6">
        <w:rPr>
          <w:rFonts w:ascii="Tahoma" w:hAnsi="Tahoma" w:cs="Tahoma"/>
          <w:b/>
          <w:bCs/>
          <w:sz w:val="22"/>
          <w:szCs w:val="22"/>
          <w:lang w:val="en-ZA"/>
        </w:rPr>
        <w:t>1717</w:t>
      </w:r>
    </w:p>
    <w:p w:rsidR="008960B2" w:rsidRPr="00987C9F" w:rsidRDefault="008960B2" w:rsidP="008F1057">
      <w:pPr>
        <w:ind w:left="284"/>
        <w:rPr>
          <w:rFonts w:ascii="Tahoma" w:hAnsi="Tahoma" w:cs="Tahoma"/>
          <w:b/>
          <w:bCs/>
          <w:sz w:val="22"/>
          <w:szCs w:val="22"/>
          <w:lang w:val="en-ZA"/>
        </w:rPr>
      </w:pPr>
    </w:p>
    <w:p w:rsidR="000C4309" w:rsidRPr="007041A6" w:rsidRDefault="00F738A0" w:rsidP="006A5D9B">
      <w:pPr>
        <w:autoSpaceDE w:val="0"/>
        <w:autoSpaceDN w:val="0"/>
        <w:adjustRightInd w:val="0"/>
        <w:spacing w:before="240" w:after="240" w:line="276" w:lineRule="auto"/>
        <w:ind w:firstLine="284"/>
        <w:rPr>
          <w:rFonts w:ascii="Tahoma" w:hAnsi="Tahoma" w:cs="Tahoma"/>
          <w:bCs/>
          <w:sz w:val="22"/>
          <w:szCs w:val="22"/>
        </w:rPr>
      </w:pPr>
      <w:r w:rsidRPr="00F738A0">
        <w:rPr>
          <w:rFonts w:ascii="Tahoma" w:hAnsi="Tahoma" w:cs="Tahoma"/>
          <w:b/>
          <w:noProof/>
          <w:sz w:val="22"/>
          <w:szCs w:val="22"/>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7041A6">
        <w:rPr>
          <w:rFonts w:ascii="Tahoma" w:hAnsi="Tahoma" w:cs="Tahoma"/>
          <w:b/>
          <w:sz w:val="22"/>
          <w:szCs w:val="22"/>
          <w:u w:val="single"/>
        </w:rPr>
        <w:t>QUESTION</w:t>
      </w:r>
      <w:r w:rsidR="000C4309" w:rsidRPr="007041A6">
        <w:rPr>
          <w:rFonts w:ascii="Tahoma" w:hAnsi="Tahoma" w:cs="Tahoma"/>
          <w:bCs/>
          <w:sz w:val="22"/>
          <w:szCs w:val="22"/>
        </w:rPr>
        <w:t>:</w:t>
      </w:r>
    </w:p>
    <w:p w:rsidR="00742A4F" w:rsidRPr="006A5D9B" w:rsidRDefault="007041A6" w:rsidP="006A5D9B">
      <w:pPr>
        <w:spacing w:line="276" w:lineRule="auto"/>
        <w:ind w:left="284"/>
        <w:rPr>
          <w:rFonts w:ascii="Arial" w:eastAsia="Calibri" w:hAnsi="Arial" w:cs="Arial"/>
          <w:b/>
          <w:bCs/>
          <w:i/>
          <w:iCs/>
          <w:lang w:val="en-ZA"/>
        </w:rPr>
      </w:pPr>
      <w:r>
        <w:rPr>
          <w:rFonts w:ascii="Arial" w:eastAsia="Calibri" w:hAnsi="Arial" w:cs="Arial"/>
          <w:b/>
          <w:bCs/>
          <w:lang w:val="en-ZA"/>
        </w:rPr>
        <w:t>1717</w:t>
      </w:r>
      <w:r w:rsidR="00742A4F" w:rsidRPr="006A5D9B">
        <w:rPr>
          <w:rFonts w:ascii="Arial" w:eastAsia="Calibri" w:hAnsi="Arial" w:cs="Arial"/>
          <w:b/>
          <w:bCs/>
          <w:lang w:val="en-ZA"/>
        </w:rPr>
        <w:t>.  M</w:t>
      </w:r>
      <w:r>
        <w:rPr>
          <w:rFonts w:ascii="Arial" w:eastAsia="Calibri" w:hAnsi="Arial" w:cs="Arial"/>
          <w:b/>
          <w:bCs/>
          <w:lang w:val="en-ZA"/>
        </w:rPr>
        <w:t>r N Singh (IFP)</w:t>
      </w:r>
      <w:r w:rsidR="00742A4F" w:rsidRPr="006A5D9B">
        <w:rPr>
          <w:rFonts w:ascii="Arial" w:eastAsia="Calibri" w:hAnsi="Arial" w:cs="Arial"/>
          <w:b/>
          <w:bCs/>
          <w:lang w:val="en-ZA"/>
        </w:rPr>
        <w:t xml:space="preserve"> to ask the Minister of Public Enterprise</w:t>
      </w:r>
      <w:r>
        <w:rPr>
          <w:rFonts w:ascii="Arial" w:eastAsia="Calibri" w:hAnsi="Arial" w:cs="Arial"/>
          <w:b/>
          <w:bCs/>
          <w:lang w:val="en-ZA"/>
        </w:rPr>
        <w:t>s:</w:t>
      </w:r>
    </w:p>
    <w:p w:rsidR="006A5D9B" w:rsidRPr="00742A4F" w:rsidRDefault="006A5D9B" w:rsidP="006A5D9B">
      <w:pPr>
        <w:spacing w:line="276" w:lineRule="auto"/>
        <w:ind w:left="284"/>
        <w:rPr>
          <w:rFonts w:ascii="Arial" w:eastAsia="Calibri" w:hAnsi="Arial" w:cs="Arial"/>
          <w:i/>
          <w:iCs/>
          <w:sz w:val="22"/>
          <w:szCs w:val="22"/>
          <w:lang w:val="en-ZA"/>
        </w:rPr>
      </w:pPr>
    </w:p>
    <w:p w:rsidR="00742A4F" w:rsidRPr="009A69FC" w:rsidRDefault="00742A4F" w:rsidP="009A69FC">
      <w:pPr>
        <w:pStyle w:val="ListParagraph"/>
        <w:numPr>
          <w:ilvl w:val="0"/>
          <w:numId w:val="17"/>
        </w:numPr>
        <w:spacing w:line="360" w:lineRule="auto"/>
        <w:jc w:val="both"/>
        <w:rPr>
          <w:rFonts w:ascii="Arial" w:eastAsia="Calibri" w:hAnsi="Arial" w:cs="Arial"/>
        </w:rPr>
      </w:pPr>
      <w:r w:rsidRPr="009A69FC">
        <w:rPr>
          <w:rFonts w:ascii="Arial" w:eastAsia="Calibri" w:hAnsi="Arial" w:cs="Arial"/>
        </w:rPr>
        <w:t>Wh</w:t>
      </w:r>
      <w:r w:rsidR="007041A6" w:rsidRPr="009A69FC">
        <w:rPr>
          <w:rFonts w:ascii="Arial" w:eastAsia="Calibri" w:hAnsi="Arial" w:cs="Arial"/>
        </w:rPr>
        <w:t xml:space="preserve">at immediate steps are being taken to ensure uninterrupted electricity supply to critical services such as water and sanitation pump stations, hospitals and other essential </w:t>
      </w:r>
      <w:r w:rsidR="009A69FC" w:rsidRPr="009A69FC">
        <w:rPr>
          <w:rFonts w:ascii="Arial" w:eastAsia="Calibri" w:hAnsi="Arial" w:cs="Arial"/>
        </w:rPr>
        <w:t>services, considering Eskom’s inability to meet the Republic’s electricity demands, the increasing frequency of loadshedding, and the possibility of a nationwide collapse of the grid;</w:t>
      </w:r>
    </w:p>
    <w:p w:rsidR="009A69FC" w:rsidRDefault="009A69FC" w:rsidP="009A69FC">
      <w:pPr>
        <w:pStyle w:val="ListParagraph"/>
        <w:numPr>
          <w:ilvl w:val="0"/>
          <w:numId w:val="17"/>
        </w:numPr>
        <w:spacing w:line="360" w:lineRule="auto"/>
        <w:jc w:val="both"/>
        <w:rPr>
          <w:rFonts w:ascii="Arial" w:eastAsia="Calibri" w:hAnsi="Arial" w:cs="Arial"/>
        </w:rPr>
      </w:pPr>
      <w:r>
        <w:rPr>
          <w:rFonts w:ascii="Arial" w:eastAsia="Calibri" w:hAnsi="Arial" w:cs="Arial"/>
        </w:rPr>
        <w:t>whether, with many essential services currently sharing the same grid with surrounding residential areas, leading to some areas not experiencing loadshedding for months while others face additional load shedding, there is any plan in place to establish separate reticulation lines, dedicated transformers and substations for essential service providers; if not, why not; if so,</w:t>
      </w:r>
    </w:p>
    <w:p w:rsidR="009A69FC" w:rsidRDefault="009A69FC" w:rsidP="009A69FC">
      <w:pPr>
        <w:pStyle w:val="ListParagraph"/>
        <w:numPr>
          <w:ilvl w:val="0"/>
          <w:numId w:val="17"/>
        </w:numPr>
        <w:spacing w:line="360" w:lineRule="auto"/>
        <w:jc w:val="both"/>
        <w:rPr>
          <w:rFonts w:ascii="Arial" w:eastAsia="Calibri" w:hAnsi="Arial" w:cs="Arial"/>
        </w:rPr>
      </w:pPr>
      <w:r>
        <w:rPr>
          <w:rFonts w:ascii="Arial" w:eastAsia="Calibri" w:hAnsi="Arial" w:cs="Arial"/>
        </w:rPr>
        <w:t>whether the plan is feasible; if not, what is the position in this regard; if so, (a) how long is it envisaged to take to implement the plan and (b) what are the potential risks to the stability of the electricity grid associated with such reengineering.</w:t>
      </w:r>
    </w:p>
    <w:p w:rsidR="009A69FC" w:rsidRPr="009A69FC" w:rsidRDefault="009A69FC" w:rsidP="009A69FC">
      <w:pPr>
        <w:pStyle w:val="ListParagraph"/>
        <w:numPr>
          <w:ilvl w:val="0"/>
          <w:numId w:val="17"/>
        </w:numPr>
        <w:spacing w:line="360" w:lineRule="auto"/>
        <w:jc w:val="both"/>
        <w:rPr>
          <w:rFonts w:ascii="Arial" w:eastAsia="Calibri" w:hAnsi="Arial" w:cs="Arial"/>
        </w:rPr>
      </w:pPr>
      <w:r>
        <w:rPr>
          <w:rFonts w:ascii="Arial" w:eastAsia="Calibri" w:hAnsi="Arial" w:cs="Arial"/>
        </w:rPr>
        <w:t xml:space="preserve">what are the details of how he and Eskom Holdings SOC Ltd intend to meet the 60-day court ordered directive handed down in the High Court, Gauteng Division, Pretoria Case No: 005779/2023 on 5 May 2023?                                                 </w:t>
      </w:r>
      <w:r>
        <w:rPr>
          <w:rFonts w:ascii="Arial" w:eastAsia="Calibri" w:hAnsi="Arial" w:cs="Arial"/>
          <w:b/>
          <w:bCs/>
        </w:rPr>
        <w:t>NW1959E</w:t>
      </w: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6B4F14" w:rsidRDefault="006B4F14" w:rsidP="006B4F14">
      <w:pPr>
        <w:spacing w:line="360" w:lineRule="auto"/>
        <w:ind w:left="709" w:hanging="425"/>
        <w:rPr>
          <w:rFonts w:ascii="Arial" w:eastAsia="Calibri" w:hAnsi="Arial" w:cs="Arial"/>
          <w:lang w:val="en-ZA"/>
        </w:rPr>
      </w:pPr>
    </w:p>
    <w:p w:rsidR="000C4309" w:rsidRDefault="000C4309" w:rsidP="006B4F14">
      <w:pPr>
        <w:spacing w:line="360" w:lineRule="auto"/>
        <w:ind w:left="709" w:hanging="425"/>
        <w:rPr>
          <w:rFonts w:ascii="Arial" w:hAnsi="Arial" w:cs="Arial"/>
          <w:b/>
          <w:sz w:val="22"/>
          <w:szCs w:val="22"/>
          <w:u w:val="single"/>
        </w:rPr>
      </w:pPr>
      <w:r w:rsidRPr="008D62F8">
        <w:rPr>
          <w:rFonts w:ascii="Arial" w:hAnsi="Arial" w:cs="Arial"/>
          <w:b/>
          <w:sz w:val="22"/>
          <w:szCs w:val="22"/>
          <w:u w:val="single"/>
        </w:rPr>
        <w:t>REPLY</w:t>
      </w:r>
      <w:r w:rsidR="009A69FC">
        <w:rPr>
          <w:rFonts w:ascii="Arial" w:hAnsi="Arial" w:cs="Arial"/>
          <w:b/>
          <w:sz w:val="22"/>
          <w:szCs w:val="22"/>
          <w:u w:val="single"/>
        </w:rPr>
        <w:t>:</w:t>
      </w:r>
    </w:p>
    <w:p w:rsidR="009A69FC" w:rsidRDefault="009A69FC" w:rsidP="006A5D9B">
      <w:pPr>
        <w:widowControl w:val="0"/>
        <w:suppressAutoHyphens/>
        <w:spacing w:line="276" w:lineRule="auto"/>
        <w:ind w:firstLine="284"/>
        <w:jc w:val="both"/>
        <w:rPr>
          <w:rFonts w:ascii="Arial" w:hAnsi="Arial" w:cs="Arial"/>
          <w:b/>
          <w:sz w:val="22"/>
          <w:szCs w:val="22"/>
          <w:u w:val="single"/>
        </w:rPr>
      </w:pPr>
    </w:p>
    <w:p w:rsidR="009A69FC" w:rsidRPr="006B4F14" w:rsidRDefault="009A69FC" w:rsidP="006A5D9B">
      <w:pPr>
        <w:widowControl w:val="0"/>
        <w:suppressAutoHyphens/>
        <w:spacing w:line="276" w:lineRule="auto"/>
        <w:ind w:firstLine="284"/>
        <w:jc w:val="both"/>
        <w:rPr>
          <w:rFonts w:ascii="Arial" w:hAnsi="Arial" w:cs="Arial"/>
          <w:bCs/>
        </w:rPr>
      </w:pPr>
      <w:r w:rsidRPr="006B4F14">
        <w:rPr>
          <w:rFonts w:ascii="Arial" w:hAnsi="Arial" w:cs="Arial"/>
          <w:b/>
          <w:u w:val="single"/>
        </w:rPr>
        <w:t xml:space="preserve">According to </w:t>
      </w:r>
      <w:r w:rsidR="00AA1CE7">
        <w:rPr>
          <w:rFonts w:ascii="Arial" w:hAnsi="Arial" w:cs="Arial"/>
          <w:b/>
          <w:u w:val="single"/>
        </w:rPr>
        <w:t>the i</w:t>
      </w:r>
      <w:r w:rsidRPr="006B4F14">
        <w:rPr>
          <w:rFonts w:ascii="Arial" w:hAnsi="Arial" w:cs="Arial"/>
          <w:b/>
          <w:u w:val="single"/>
        </w:rPr>
        <w:t>n</w:t>
      </w:r>
      <w:r w:rsidR="006B4F14" w:rsidRPr="006B4F14">
        <w:rPr>
          <w:rFonts w:ascii="Arial" w:hAnsi="Arial" w:cs="Arial"/>
          <w:b/>
          <w:u w:val="single"/>
        </w:rPr>
        <w:t xml:space="preserve">formation </w:t>
      </w:r>
      <w:r w:rsidR="00AA1CE7">
        <w:rPr>
          <w:rFonts w:ascii="Arial" w:hAnsi="Arial" w:cs="Arial"/>
          <w:b/>
          <w:u w:val="single"/>
        </w:rPr>
        <w:t>r</w:t>
      </w:r>
      <w:r w:rsidR="006B4F14" w:rsidRPr="006B4F14">
        <w:rPr>
          <w:rFonts w:ascii="Arial" w:hAnsi="Arial" w:cs="Arial"/>
          <w:b/>
          <w:u w:val="single"/>
        </w:rPr>
        <w:t>eceived from Eskom:</w:t>
      </w:r>
    </w:p>
    <w:p w:rsidR="00907FD3" w:rsidRPr="00907FD3" w:rsidRDefault="00907FD3" w:rsidP="00907FD3">
      <w:pPr>
        <w:spacing w:line="360" w:lineRule="auto"/>
      </w:pPr>
      <w:r>
        <w:rPr>
          <w:sz w:val="22"/>
          <w:szCs w:val="22"/>
        </w:rPr>
        <w:t xml:space="preserve"> </w:t>
      </w:r>
    </w:p>
    <w:p w:rsidR="00907FD3" w:rsidRPr="00907FD3" w:rsidRDefault="00907FD3" w:rsidP="00907FD3">
      <w:pPr>
        <w:pStyle w:val="ListParagraph"/>
        <w:numPr>
          <w:ilvl w:val="0"/>
          <w:numId w:val="23"/>
        </w:numPr>
        <w:autoSpaceDE w:val="0"/>
        <w:autoSpaceDN w:val="0"/>
        <w:adjustRightInd w:val="0"/>
        <w:spacing w:before="120" w:after="120" w:line="360" w:lineRule="auto"/>
        <w:ind w:hanging="436"/>
        <w:jc w:val="both"/>
        <w:rPr>
          <w:rFonts w:ascii="Arial" w:hAnsi="Arial" w:cs="Arial"/>
          <w:lang w:val="en-GB" w:eastAsia="en-ZA"/>
        </w:rPr>
      </w:pPr>
      <w:r w:rsidRPr="00907FD3">
        <w:rPr>
          <w:rFonts w:ascii="Arial" w:hAnsi="Arial" w:cs="Arial"/>
          <w:lang w:val="en-GB" w:eastAsia="en-ZA"/>
        </w:rPr>
        <w:t>At present, Eskom is engaging with both the Department of Health and the Department of Water and Sanitation regarding their points of supply in the Eskom supply area identified as critical. Once this has been completed, where possible, measures will be implemented to mitigate the impact of loadshedding as far as practically possible. Currently, Eskom exempts or partially exempts 25 public health establishments within its area of supply.</w:t>
      </w:r>
    </w:p>
    <w:p w:rsidR="00907FD3" w:rsidRPr="00907FD3" w:rsidRDefault="00907FD3" w:rsidP="00907FD3">
      <w:pPr>
        <w:autoSpaceDE w:val="0"/>
        <w:autoSpaceDN w:val="0"/>
        <w:adjustRightInd w:val="0"/>
        <w:spacing w:before="120" w:after="120" w:line="360" w:lineRule="auto"/>
        <w:ind w:left="709" w:hanging="425"/>
        <w:jc w:val="both"/>
        <w:rPr>
          <w:rFonts w:ascii="Arial" w:hAnsi="Arial" w:cs="Arial"/>
          <w:sz w:val="22"/>
          <w:szCs w:val="22"/>
          <w:lang w:val="en-GB" w:eastAsia="en-ZA"/>
        </w:rPr>
      </w:pPr>
      <w:r>
        <w:rPr>
          <w:rFonts w:ascii="Arial" w:hAnsi="Arial" w:cs="Arial"/>
          <w:sz w:val="22"/>
          <w:szCs w:val="22"/>
          <w:lang w:val="en-GB" w:eastAsia="en-ZA"/>
        </w:rPr>
        <w:t xml:space="preserve">(2)  </w:t>
      </w:r>
      <w:r w:rsidRPr="00907FD3">
        <w:rPr>
          <w:rFonts w:ascii="Arial" w:hAnsi="Arial" w:cs="Arial"/>
          <w:lang w:val="en-GB" w:eastAsia="en-ZA"/>
        </w:rPr>
        <w:t>Where a facility is deeply embedded in the network, partial exemption at lower stages of loadshedding has been granted. Eskom has concluded a preliminary assessment of establishing dedicated feeders for certain hospitals. This assessment has been shared with the Department of Health, and discussions on implementation are ongoing. A similar approach will be followed for other critical infrastructure.</w:t>
      </w:r>
    </w:p>
    <w:p w:rsidR="00907FD3" w:rsidRPr="00907FD3" w:rsidRDefault="00907FD3" w:rsidP="00E95081">
      <w:pPr>
        <w:autoSpaceDE w:val="0"/>
        <w:autoSpaceDN w:val="0"/>
        <w:adjustRightInd w:val="0"/>
        <w:spacing w:before="120" w:after="120" w:line="360" w:lineRule="auto"/>
        <w:ind w:left="567" w:hanging="283"/>
        <w:jc w:val="both"/>
        <w:rPr>
          <w:rFonts w:ascii="Arial" w:hAnsi="Arial" w:cs="Arial"/>
          <w:lang w:val="en-GB" w:eastAsia="en-ZA"/>
        </w:rPr>
      </w:pPr>
      <w:r w:rsidRPr="00907FD3">
        <w:rPr>
          <w:rFonts w:ascii="Arial" w:hAnsi="Arial" w:cs="Arial"/>
          <w:lang w:val="en-GB" w:eastAsia="en-ZA"/>
        </w:rPr>
        <w:t>(3)(a)(b) The implementation time is envisaged to take between 12 to 24 months, after the investment decision, depending on the type of solution and other factors such as environmental approvals and land acquisition. The impact on grid stability is minimal, as the System Operator will continue to balance demand and supply.</w:t>
      </w:r>
    </w:p>
    <w:p w:rsidR="00907FD3" w:rsidRDefault="00907FD3" w:rsidP="0076280A">
      <w:pPr>
        <w:autoSpaceDE w:val="0"/>
        <w:autoSpaceDN w:val="0"/>
        <w:adjustRightInd w:val="0"/>
        <w:spacing w:before="120" w:after="120" w:line="360" w:lineRule="auto"/>
        <w:ind w:left="567" w:hanging="283"/>
        <w:jc w:val="both"/>
        <w:rPr>
          <w:rFonts w:ascii="Arial" w:hAnsi="Arial" w:cs="Arial"/>
          <w:lang w:val="en-GB" w:eastAsia="en-ZA"/>
        </w:rPr>
      </w:pPr>
      <w:r w:rsidRPr="00907FD3">
        <w:rPr>
          <w:rFonts w:ascii="Arial" w:hAnsi="Arial" w:cs="Arial"/>
          <w:sz w:val="22"/>
          <w:szCs w:val="22"/>
          <w:lang w:val="en-GB" w:eastAsia="en-ZA"/>
        </w:rPr>
        <w:t>(4)</w:t>
      </w:r>
      <w:r>
        <w:rPr>
          <w:rFonts w:ascii="Arial" w:hAnsi="Arial" w:cs="Arial"/>
          <w:sz w:val="22"/>
          <w:szCs w:val="22"/>
          <w:lang w:val="en-GB" w:eastAsia="en-ZA"/>
        </w:rPr>
        <w:t xml:space="preserve"> </w:t>
      </w:r>
      <w:r w:rsidR="00B2375F">
        <w:rPr>
          <w:rFonts w:ascii="Arial" w:hAnsi="Arial" w:cs="Arial"/>
          <w:lang w:val="en-GB" w:eastAsia="en-ZA"/>
        </w:rPr>
        <w:t>T</w:t>
      </w:r>
      <w:r w:rsidRPr="00907FD3">
        <w:rPr>
          <w:rFonts w:ascii="Arial" w:hAnsi="Arial" w:cs="Arial"/>
          <w:lang w:val="en-GB" w:eastAsia="en-ZA"/>
        </w:rPr>
        <w:t>he Minister has decided to file an urgent appeal to set aside the judgment. Therefore</w:t>
      </w:r>
      <w:proofErr w:type="gramStart"/>
      <w:r w:rsidRPr="00907FD3">
        <w:rPr>
          <w:rFonts w:ascii="Arial" w:hAnsi="Arial" w:cs="Arial"/>
          <w:lang w:val="en-GB" w:eastAsia="en-ZA"/>
        </w:rPr>
        <w:t>,  the</w:t>
      </w:r>
      <w:proofErr w:type="gramEnd"/>
      <w:r w:rsidRPr="00907FD3">
        <w:rPr>
          <w:rFonts w:ascii="Arial" w:hAnsi="Arial" w:cs="Arial"/>
          <w:lang w:val="en-GB" w:eastAsia="en-ZA"/>
        </w:rPr>
        <w:t xml:space="preserve"> application by the Minister to appeal will suspend the operation and execution of a judgment of the High Court, pending the outcome of the application.</w:t>
      </w:r>
    </w:p>
    <w:p w:rsidR="00AA1CE7" w:rsidRDefault="00AA1CE7" w:rsidP="0076280A">
      <w:pPr>
        <w:autoSpaceDE w:val="0"/>
        <w:autoSpaceDN w:val="0"/>
        <w:adjustRightInd w:val="0"/>
        <w:spacing w:before="120" w:after="120" w:line="360" w:lineRule="auto"/>
        <w:ind w:left="567" w:hanging="283"/>
        <w:jc w:val="both"/>
        <w:rPr>
          <w:rFonts w:ascii="Arial" w:hAnsi="Arial" w:cs="Arial"/>
          <w:lang w:val="en-GB" w:eastAsia="en-ZA"/>
        </w:rPr>
      </w:pPr>
      <w:r>
        <w:rPr>
          <w:rFonts w:ascii="Arial" w:hAnsi="Arial" w:cs="Arial"/>
          <w:lang w:val="en-GB" w:eastAsia="en-ZA"/>
        </w:rPr>
        <w:tab/>
      </w:r>
    </w:p>
    <w:p w:rsidR="00AA1CE7" w:rsidRPr="00907FD3" w:rsidRDefault="00AA1CE7" w:rsidP="00AA1CE7">
      <w:pPr>
        <w:autoSpaceDE w:val="0"/>
        <w:autoSpaceDN w:val="0"/>
        <w:adjustRightInd w:val="0"/>
        <w:spacing w:before="120" w:after="120" w:line="360" w:lineRule="auto"/>
        <w:ind w:left="567"/>
        <w:jc w:val="both"/>
        <w:rPr>
          <w:rFonts w:ascii="Arial" w:hAnsi="Arial" w:cs="Arial"/>
          <w:lang w:val="en-GB" w:eastAsia="en-ZA"/>
        </w:rPr>
      </w:pPr>
      <w:r>
        <w:rPr>
          <w:rFonts w:ascii="Arial" w:hAnsi="Arial" w:cs="Arial"/>
          <w:lang w:val="en-GB" w:eastAsia="en-ZA"/>
        </w:rPr>
        <w:t xml:space="preserve">However, Eskom continues its endeavours to provide whatever relief is possible, given the design of the grid that the hospital or essential service is connected to. All of the </w:t>
      </w:r>
      <w:proofErr w:type="gramStart"/>
      <w:r>
        <w:rPr>
          <w:rFonts w:ascii="Arial" w:hAnsi="Arial" w:cs="Arial"/>
          <w:lang w:val="en-GB" w:eastAsia="en-ZA"/>
        </w:rPr>
        <w:t>above,</w:t>
      </w:r>
      <w:proofErr w:type="gramEnd"/>
      <w:r>
        <w:rPr>
          <w:rFonts w:ascii="Arial" w:hAnsi="Arial" w:cs="Arial"/>
          <w:lang w:val="en-GB" w:eastAsia="en-ZA"/>
        </w:rPr>
        <w:t xml:space="preserve"> is, of course, dependent on the total megawatts available from the generation system. It is the latter that is the fundamental cause of the current limitations on energy availability.</w:t>
      </w:r>
    </w:p>
    <w:p w:rsidR="000C4309" w:rsidRDefault="000C4309" w:rsidP="000C4309">
      <w:pPr>
        <w:autoSpaceDE w:val="0"/>
        <w:autoSpaceDN w:val="0"/>
        <w:adjustRightInd w:val="0"/>
        <w:spacing w:line="276" w:lineRule="auto"/>
        <w:jc w:val="both"/>
        <w:rPr>
          <w:rFonts w:ascii="Arial" w:hAnsi="Arial" w:cs="Arial"/>
          <w:sz w:val="22"/>
          <w:szCs w:val="22"/>
        </w:rPr>
      </w:pPr>
    </w:p>
    <w:p w:rsidR="000C4309" w:rsidRDefault="000C4309" w:rsidP="000C4309">
      <w:pPr>
        <w:autoSpaceDE w:val="0"/>
        <w:autoSpaceDN w:val="0"/>
        <w:adjustRightInd w:val="0"/>
        <w:jc w:val="both"/>
        <w:rPr>
          <w:rFonts w:ascii="Arial" w:hAnsi="Arial" w:cs="Arial"/>
          <w:sz w:val="22"/>
          <w:szCs w:val="22"/>
          <w:lang w:eastAsia="en-ZA"/>
        </w:rPr>
      </w:pPr>
    </w:p>
    <w:p w:rsidR="00E575C0" w:rsidRPr="00522234" w:rsidRDefault="00E575C0" w:rsidP="005F5BDB">
      <w:pPr>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AA1CE7">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907FD3" w:rsidRDefault="00907FD3"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6B4F14" w:rsidP="005F5BDB">
      <w:pPr>
        <w:contextualSpacing/>
        <w:rPr>
          <w:rFonts w:ascii="Arial" w:hAnsi="Arial" w:cs="Arial"/>
          <w:b/>
          <w:bCs/>
          <w:lang w:val="en-ZA"/>
        </w:rPr>
      </w:pPr>
      <w:r>
        <w:rPr>
          <w:rFonts w:ascii="Arial" w:hAnsi="Arial" w:cs="Arial"/>
          <w:b/>
          <w:bCs/>
          <w:lang w:val="en-ZA"/>
        </w:rPr>
        <w:t xml:space="preserve">Jacky Molisane       </w:t>
      </w:r>
      <w:r w:rsidR="000C4309">
        <w:rPr>
          <w:rFonts w:ascii="Arial" w:hAnsi="Arial" w:cs="Arial"/>
          <w:b/>
          <w:bCs/>
          <w:lang w:val="en-ZA"/>
        </w:rPr>
        <w:tab/>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482B63">
        <w:rPr>
          <w:rFonts w:ascii="Arial" w:hAnsi="Arial" w:cs="Arial"/>
          <w:b/>
          <w:bCs/>
          <w:lang w:val="en-ZA"/>
        </w:rPr>
        <w:t>J</w:t>
      </w:r>
      <w:r w:rsidR="00E575C0">
        <w:rPr>
          <w:rFonts w:ascii="Arial" w:hAnsi="Arial" w:cs="Arial"/>
          <w:b/>
          <w:bCs/>
          <w:lang w:val="en-ZA"/>
        </w:rPr>
        <w:t xml:space="preserve">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5F5BDB">
      <w:pPr>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5F5BDB">
        <w:rPr>
          <w:rFonts w:ascii="Arial" w:hAnsi="Arial" w:cs="Arial"/>
          <w:b/>
          <w:bCs/>
          <w:lang w:val="en-ZA"/>
        </w:rPr>
        <w:tab/>
      </w:r>
      <w:r w:rsidR="00E575C0" w:rsidRPr="00522234">
        <w:rPr>
          <w:rFonts w:ascii="Arial" w:hAnsi="Arial" w:cs="Arial"/>
          <w:b/>
          <w:bCs/>
          <w:lang w:val="en-ZA"/>
        </w:rPr>
        <w:t xml:space="preserve">Minister </w:t>
      </w:r>
    </w:p>
    <w:p w:rsidR="009F4B23" w:rsidRPr="009F4B23" w:rsidRDefault="00E575C0" w:rsidP="005F5BDB">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5F5BDB">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14" w:rsidRDefault="00EF2114" w:rsidP="006A43DE">
      <w:r>
        <w:separator/>
      </w:r>
    </w:p>
  </w:endnote>
  <w:endnote w:type="continuationSeparator" w:id="0">
    <w:p w:rsidR="00EF2114" w:rsidRDefault="00EF2114"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14" w:rsidRDefault="00EF2114" w:rsidP="006A43DE">
      <w:r>
        <w:separator/>
      </w:r>
    </w:p>
  </w:footnote>
  <w:footnote w:type="continuationSeparator" w:id="0">
    <w:p w:rsidR="00EF2114" w:rsidRDefault="00EF2114"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4">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1">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4">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4B82B2B"/>
    <w:multiLevelType w:val="hybridMultilevel"/>
    <w:tmpl w:val="430A5506"/>
    <w:lvl w:ilvl="0" w:tplc="D7C42C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C1E13C5"/>
    <w:multiLevelType w:val="hybridMultilevel"/>
    <w:tmpl w:val="43A2FC06"/>
    <w:lvl w:ilvl="0" w:tplc="E662EE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9"/>
  </w:num>
  <w:num w:numId="2">
    <w:abstractNumId w:val="19"/>
  </w:num>
  <w:num w:numId="3">
    <w:abstractNumId w:val="8"/>
  </w:num>
  <w:num w:numId="4">
    <w:abstractNumId w:val="14"/>
  </w:num>
  <w:num w:numId="5">
    <w:abstractNumId w:val="15"/>
  </w:num>
  <w:num w:numId="6">
    <w:abstractNumId w:val="0"/>
  </w:num>
  <w:num w:numId="7">
    <w:abstractNumId w:val="11"/>
  </w:num>
  <w:num w:numId="8">
    <w:abstractNumId w:val="13"/>
  </w:num>
  <w:num w:numId="9">
    <w:abstractNumId w:val="5"/>
  </w:num>
  <w:num w:numId="10">
    <w:abstractNumId w:val="6"/>
  </w:num>
  <w:num w:numId="11">
    <w:abstractNumId w:val="7"/>
  </w:num>
  <w:num w:numId="12">
    <w:abstractNumId w:val="10"/>
  </w:num>
  <w:num w:numId="13">
    <w:abstractNumId w:val="17"/>
  </w:num>
  <w:num w:numId="14">
    <w:abstractNumId w:val="12"/>
  </w:num>
  <w:num w:numId="15">
    <w:abstractNumId w:val="1"/>
  </w:num>
  <w:num w:numId="16">
    <w:abstractNumId w:val="3"/>
  </w:num>
  <w:num w:numId="17">
    <w:abstractNumId w:val="2"/>
  </w:num>
  <w:num w:numId="18">
    <w:abstractNumId w:val="16"/>
  </w:num>
  <w:num w:numId="19">
    <w:abstractNumId w:val="22"/>
  </w:num>
  <w:num w:numId="20">
    <w:abstractNumId w:val="18"/>
  </w:num>
  <w:num w:numId="21">
    <w:abstractNumId w:val="4"/>
  </w:num>
  <w:num w:numId="22">
    <w:abstractNumId w:val="21"/>
  </w:num>
  <w:num w:numId="23">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309"/>
    <w:rsid w:val="000C4756"/>
    <w:rsid w:val="000C48EB"/>
    <w:rsid w:val="000F6FB5"/>
    <w:rsid w:val="000F7318"/>
    <w:rsid w:val="00107E40"/>
    <w:rsid w:val="001204BE"/>
    <w:rsid w:val="00125D8E"/>
    <w:rsid w:val="00141EAA"/>
    <w:rsid w:val="00152E8D"/>
    <w:rsid w:val="00153347"/>
    <w:rsid w:val="00162952"/>
    <w:rsid w:val="001633F2"/>
    <w:rsid w:val="00164073"/>
    <w:rsid w:val="00170AB9"/>
    <w:rsid w:val="00190B29"/>
    <w:rsid w:val="001961F0"/>
    <w:rsid w:val="001B13C2"/>
    <w:rsid w:val="001C647A"/>
    <w:rsid w:val="001C7482"/>
    <w:rsid w:val="001D28C7"/>
    <w:rsid w:val="001D4235"/>
    <w:rsid w:val="001E09A9"/>
    <w:rsid w:val="001E1264"/>
    <w:rsid w:val="001F33B3"/>
    <w:rsid w:val="00203FBE"/>
    <w:rsid w:val="00210533"/>
    <w:rsid w:val="0022022F"/>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D5777"/>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742"/>
    <w:rsid w:val="00371F0A"/>
    <w:rsid w:val="00372C1C"/>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2B63"/>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05D"/>
    <w:rsid w:val="0054518F"/>
    <w:rsid w:val="005703CE"/>
    <w:rsid w:val="00575F22"/>
    <w:rsid w:val="00576A7D"/>
    <w:rsid w:val="00577775"/>
    <w:rsid w:val="005B2A1A"/>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A5D9B"/>
    <w:rsid w:val="006B4F14"/>
    <w:rsid w:val="006C5A5E"/>
    <w:rsid w:val="006D3B92"/>
    <w:rsid w:val="006D650A"/>
    <w:rsid w:val="006E226F"/>
    <w:rsid w:val="006E28F9"/>
    <w:rsid w:val="006F5FEE"/>
    <w:rsid w:val="007041A6"/>
    <w:rsid w:val="00711E1F"/>
    <w:rsid w:val="00716A5F"/>
    <w:rsid w:val="00731637"/>
    <w:rsid w:val="00735AB2"/>
    <w:rsid w:val="007410D8"/>
    <w:rsid w:val="00741768"/>
    <w:rsid w:val="00742A4F"/>
    <w:rsid w:val="00752B07"/>
    <w:rsid w:val="00753188"/>
    <w:rsid w:val="00761EBB"/>
    <w:rsid w:val="0076280A"/>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5368"/>
    <w:rsid w:val="00817F1E"/>
    <w:rsid w:val="00824E8E"/>
    <w:rsid w:val="00887188"/>
    <w:rsid w:val="0089120C"/>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07FD3"/>
    <w:rsid w:val="009144BA"/>
    <w:rsid w:val="009200EB"/>
    <w:rsid w:val="00920EC4"/>
    <w:rsid w:val="00930D31"/>
    <w:rsid w:val="00935725"/>
    <w:rsid w:val="00941FC3"/>
    <w:rsid w:val="00942881"/>
    <w:rsid w:val="0095077D"/>
    <w:rsid w:val="00950F7D"/>
    <w:rsid w:val="00952742"/>
    <w:rsid w:val="009561E6"/>
    <w:rsid w:val="00956AE9"/>
    <w:rsid w:val="00957EA0"/>
    <w:rsid w:val="00961B9E"/>
    <w:rsid w:val="009632E6"/>
    <w:rsid w:val="00972069"/>
    <w:rsid w:val="009A53BF"/>
    <w:rsid w:val="009A69FC"/>
    <w:rsid w:val="009B4F7B"/>
    <w:rsid w:val="009B5AB4"/>
    <w:rsid w:val="009B6439"/>
    <w:rsid w:val="009C440F"/>
    <w:rsid w:val="009C4542"/>
    <w:rsid w:val="009C6BCC"/>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A1CE7"/>
    <w:rsid w:val="00AB4CE7"/>
    <w:rsid w:val="00AB620F"/>
    <w:rsid w:val="00AD433D"/>
    <w:rsid w:val="00AE07A0"/>
    <w:rsid w:val="00AE7A7D"/>
    <w:rsid w:val="00B0020D"/>
    <w:rsid w:val="00B143AB"/>
    <w:rsid w:val="00B15A06"/>
    <w:rsid w:val="00B2314F"/>
    <w:rsid w:val="00B2375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27F95"/>
    <w:rsid w:val="00C376CE"/>
    <w:rsid w:val="00C46606"/>
    <w:rsid w:val="00C53F6B"/>
    <w:rsid w:val="00C6140B"/>
    <w:rsid w:val="00C65732"/>
    <w:rsid w:val="00C71A4E"/>
    <w:rsid w:val="00C7276E"/>
    <w:rsid w:val="00C73A1D"/>
    <w:rsid w:val="00C76C58"/>
    <w:rsid w:val="00C8563D"/>
    <w:rsid w:val="00C943CB"/>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95081"/>
    <w:rsid w:val="00EA2229"/>
    <w:rsid w:val="00EA489C"/>
    <w:rsid w:val="00EB2717"/>
    <w:rsid w:val="00EB6669"/>
    <w:rsid w:val="00EC7A1C"/>
    <w:rsid w:val="00EC7B69"/>
    <w:rsid w:val="00ED0FA4"/>
    <w:rsid w:val="00ED385C"/>
    <w:rsid w:val="00EE5757"/>
    <w:rsid w:val="00EF2114"/>
    <w:rsid w:val="00EF35EA"/>
    <w:rsid w:val="00F31673"/>
    <w:rsid w:val="00F31D7B"/>
    <w:rsid w:val="00F34711"/>
    <w:rsid w:val="00F40076"/>
    <w:rsid w:val="00F45181"/>
    <w:rsid w:val="00F62BDA"/>
    <w:rsid w:val="00F63886"/>
    <w:rsid w:val="00F651DA"/>
    <w:rsid w:val="00F7162E"/>
    <w:rsid w:val="00F738A0"/>
    <w:rsid w:val="00F77706"/>
    <w:rsid w:val="00F82D6C"/>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A0"/>
    <w:rPr>
      <w:sz w:val="24"/>
      <w:szCs w:val="24"/>
    </w:rPr>
  </w:style>
  <w:style w:type="paragraph" w:styleId="Heading1">
    <w:name w:val="heading 1"/>
    <w:basedOn w:val="Normal"/>
    <w:next w:val="Normal"/>
    <w:qFormat/>
    <w:rsid w:val="00F738A0"/>
    <w:pPr>
      <w:keepNext/>
      <w:spacing w:line="312" w:lineRule="auto"/>
      <w:ind w:left="540"/>
      <w:outlineLvl w:val="0"/>
    </w:pPr>
    <w:rPr>
      <w:rFonts w:ascii="Arial" w:hAnsi="Arial" w:cs="Arial"/>
      <w:b/>
      <w:bCs/>
    </w:rPr>
  </w:style>
  <w:style w:type="paragraph" w:styleId="Heading2">
    <w:name w:val="heading 2"/>
    <w:basedOn w:val="Normal"/>
    <w:next w:val="Normal"/>
    <w:qFormat/>
    <w:rsid w:val="00F738A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738A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738A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738A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EE35-67CE-416D-8788-F620A55C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3477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2023-02-14T09:25:00Z</cp:lastPrinted>
  <dcterms:created xsi:type="dcterms:W3CDTF">2023-06-21T10:16:00Z</dcterms:created>
  <dcterms:modified xsi:type="dcterms:W3CDTF">2023-06-21T10:16:00Z</dcterms:modified>
</cp:coreProperties>
</file>