
<file path=[Content_Types].xml><?xml version="1.0" encoding="utf-8"?>
<Types xmlns="http://schemas.openxmlformats.org/package/2006/content-types">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05" w:rsidRDefault="006130FB" w:rsidP="006130FB">
      <w:pPr>
        <w:tabs>
          <w:tab w:val="left" w:pos="1080"/>
          <w:tab w:val="left" w:pos="1620"/>
          <w:tab w:val="left" w:pos="2340"/>
        </w:tabs>
        <w:spacing w:line="360" w:lineRule="auto"/>
        <w:jc w:val="both"/>
        <w:rPr>
          <w:rFonts w:ascii="Arial" w:eastAsia="Arial" w:hAnsi="Arial" w:cs="Arial"/>
          <w:b/>
        </w:rPr>
      </w:pPr>
      <w:r>
        <w:rPr>
          <w:rFonts w:ascii="Arial" w:eastAsia="Arial" w:hAnsi="Arial" w:cs="Arial"/>
          <w:b/>
        </w:rPr>
        <w:t>National Assembly</w:t>
      </w:r>
    </w:p>
    <w:p w:rsidR="006130FB" w:rsidRPr="006130FB" w:rsidRDefault="006130FB" w:rsidP="006130FB">
      <w:pPr>
        <w:tabs>
          <w:tab w:val="left" w:pos="1080"/>
          <w:tab w:val="left" w:pos="1620"/>
          <w:tab w:val="left" w:pos="2340"/>
        </w:tabs>
        <w:spacing w:line="360" w:lineRule="auto"/>
        <w:jc w:val="both"/>
        <w:rPr>
          <w:rFonts w:ascii="Arial" w:eastAsia="Arial" w:hAnsi="Arial" w:cs="Arial"/>
          <w:b/>
        </w:rPr>
      </w:pPr>
      <w:r>
        <w:rPr>
          <w:rFonts w:ascii="Arial" w:eastAsia="Arial" w:hAnsi="Arial" w:cs="Arial"/>
          <w:b/>
        </w:rPr>
        <w:t>Question No 1712</w:t>
      </w:r>
    </w:p>
    <w:p w:rsidR="00077CF0" w:rsidRDefault="00077CF0" w:rsidP="00077CF0">
      <w:pPr>
        <w:pStyle w:val="Default"/>
        <w:rPr>
          <w:rFonts w:ascii="Arial" w:hAnsi="Arial" w:cs="Arial"/>
          <w:b/>
        </w:rPr>
      </w:pPr>
      <w:r w:rsidRPr="00077CF0">
        <w:rPr>
          <w:rFonts w:ascii="Arial" w:hAnsi="Arial" w:cs="Arial"/>
          <w:b/>
          <w:bCs/>
        </w:rPr>
        <w:t xml:space="preserve">Mrs </w:t>
      </w:r>
      <w:r w:rsidRPr="00077CF0">
        <w:rPr>
          <w:rFonts w:ascii="Arial" w:hAnsi="Arial" w:cs="Arial"/>
          <w:b/>
        </w:rPr>
        <w:t xml:space="preserve">W R Alexander (DA) to ask the Minister of Transport: </w:t>
      </w:r>
    </w:p>
    <w:p w:rsidR="00AF58A4" w:rsidRPr="00077CF0" w:rsidRDefault="00AF58A4" w:rsidP="00077CF0">
      <w:pPr>
        <w:pStyle w:val="Default"/>
        <w:rPr>
          <w:rFonts w:ascii="Arial" w:hAnsi="Arial" w:cs="Arial"/>
          <w:b/>
        </w:rPr>
      </w:pPr>
    </w:p>
    <w:p w:rsidR="00AF58A4" w:rsidRDefault="00077CF0" w:rsidP="006130FB">
      <w:pPr>
        <w:pStyle w:val="Default"/>
        <w:spacing w:line="276" w:lineRule="auto"/>
        <w:jc w:val="both"/>
        <w:rPr>
          <w:rFonts w:ascii="Arial" w:hAnsi="Arial" w:cs="Arial"/>
        </w:rPr>
      </w:pPr>
      <w:r w:rsidRPr="00077CF0">
        <w:rPr>
          <w:rFonts w:ascii="Arial" w:hAnsi="Arial" w:cs="Arial"/>
        </w:rPr>
        <w:t>Whether she will furnish Mrs W R Alexander with a comprehensive breakdown of the procurement allocation of (a) her department and (b) every entity reporting to her in terms of the percentages allocated to (i) small-, medium- and micro-enterprises, (ii) cooperatives, (iii) township enterprises and (iv) rural enterprises with a view to evaluating the effectiveness of the set-aside policy of the Government in fostering an inclusive and diverse economic landscape (details furnished) in the (aa) 2021-22 financial year and (bb) since 1 April 2023? NW1953</w:t>
      </w:r>
    </w:p>
    <w:p w:rsidR="00AF58A4" w:rsidRDefault="00AF58A4" w:rsidP="00AF58A4">
      <w:pPr>
        <w:pStyle w:val="Default"/>
        <w:spacing w:line="276" w:lineRule="auto"/>
        <w:ind w:left="720"/>
        <w:jc w:val="both"/>
        <w:rPr>
          <w:rFonts w:ascii="Arial" w:hAnsi="Arial" w:cs="Arial"/>
        </w:rPr>
      </w:pPr>
    </w:p>
    <w:p w:rsidR="00AF58A4" w:rsidRDefault="00AF58A4" w:rsidP="00AF58A4">
      <w:pPr>
        <w:pStyle w:val="Default"/>
        <w:spacing w:line="276" w:lineRule="auto"/>
        <w:ind w:left="720"/>
        <w:jc w:val="both"/>
        <w:rPr>
          <w:rFonts w:ascii="Arial" w:hAnsi="Arial" w:cs="Arial"/>
        </w:rPr>
      </w:pPr>
    </w:p>
    <w:p w:rsidR="00AF58A4" w:rsidRDefault="00F04BF9" w:rsidP="006130FB">
      <w:pPr>
        <w:pStyle w:val="Default"/>
        <w:spacing w:line="276" w:lineRule="auto"/>
        <w:jc w:val="both"/>
        <w:rPr>
          <w:rFonts w:ascii="Arial" w:eastAsia="Arial" w:hAnsi="Arial" w:cs="Arial"/>
          <w:b/>
        </w:rPr>
      </w:pPr>
      <w:r w:rsidRPr="00FF0D42">
        <w:rPr>
          <w:rFonts w:ascii="Arial" w:eastAsia="Arial" w:hAnsi="Arial" w:cs="Arial"/>
          <w:b/>
        </w:rPr>
        <w:t>REPLY</w:t>
      </w:r>
    </w:p>
    <w:p w:rsidR="004362BC" w:rsidRDefault="004362BC" w:rsidP="004362BC">
      <w:pPr>
        <w:pStyle w:val="Default"/>
        <w:spacing w:line="276" w:lineRule="auto"/>
        <w:ind w:left="540"/>
        <w:jc w:val="both"/>
        <w:rPr>
          <w:rFonts w:ascii="Arial" w:eastAsia="Arial" w:hAnsi="Arial" w:cs="Arial"/>
          <w:b/>
        </w:rPr>
      </w:pPr>
    </w:p>
    <w:p w:rsidR="004362BC" w:rsidRDefault="004362BC" w:rsidP="004362BC">
      <w:pPr>
        <w:pStyle w:val="Default"/>
        <w:spacing w:line="276" w:lineRule="auto"/>
        <w:ind w:left="540"/>
        <w:jc w:val="both"/>
        <w:rPr>
          <w:rFonts w:ascii="Arial" w:eastAsia="Arial" w:hAnsi="Arial" w:cs="Arial"/>
          <w:b/>
        </w:rPr>
      </w:pPr>
      <w:r>
        <w:rPr>
          <w:rFonts w:ascii="Arial" w:eastAsia="Arial" w:hAnsi="Arial" w:cs="Arial"/>
          <w:b/>
        </w:rPr>
        <w:t>Department</w:t>
      </w:r>
    </w:p>
    <w:p w:rsidR="00AF58A4" w:rsidRPr="00266495" w:rsidRDefault="00AF58A4" w:rsidP="00AF58A4">
      <w:pPr>
        <w:pStyle w:val="ListParagraph"/>
        <w:spacing w:before="100" w:beforeAutospacing="1" w:after="100" w:afterAutospacing="1"/>
        <w:ind w:left="540"/>
        <w:jc w:val="both"/>
        <w:outlineLvl w:val="0"/>
        <w:rPr>
          <w:rFonts w:ascii="Arial" w:hAnsi="Arial" w:cs="Arial"/>
        </w:rPr>
      </w:pPr>
      <w:proofErr w:type="gramStart"/>
      <w:r w:rsidRPr="00266495">
        <w:rPr>
          <w:rFonts w:ascii="Arial" w:eastAsia="Arial" w:hAnsi="Arial" w:cs="Arial"/>
        </w:rPr>
        <w:t>a)(</w:t>
      </w:r>
      <w:proofErr w:type="spellStart"/>
      <w:proofErr w:type="gramEnd"/>
      <w:r w:rsidRPr="00266495">
        <w:rPr>
          <w:rFonts w:ascii="Arial" w:eastAsia="Arial" w:hAnsi="Arial" w:cs="Arial"/>
        </w:rPr>
        <w:t>i</w:t>
      </w:r>
      <w:proofErr w:type="spellEnd"/>
      <w:r w:rsidRPr="00266495">
        <w:rPr>
          <w:rFonts w:ascii="Arial" w:eastAsia="Arial" w:hAnsi="Arial" w:cs="Arial"/>
        </w:rPr>
        <w:t xml:space="preserve">) The Department procured the following estimated percentage from </w:t>
      </w:r>
      <w:r w:rsidRPr="00266495">
        <w:rPr>
          <w:rFonts w:ascii="Arial" w:hAnsi="Arial" w:cs="Arial"/>
        </w:rPr>
        <w:t>small-, medium- and micro-enterprises, for both tender and quote processes:</w:t>
      </w:r>
    </w:p>
    <w:p w:rsidR="00AF58A4" w:rsidRPr="00266495" w:rsidRDefault="00AF58A4" w:rsidP="00AF58A4">
      <w:pPr>
        <w:pStyle w:val="ListParagraph"/>
        <w:spacing w:before="100" w:beforeAutospacing="1" w:after="100" w:afterAutospacing="1"/>
        <w:ind w:left="540"/>
        <w:jc w:val="both"/>
        <w:outlineLvl w:val="0"/>
        <w:rPr>
          <w:rFonts w:ascii="Arial" w:eastAsia="Arial" w:hAnsi="Arial" w:cs="Arial"/>
        </w:rPr>
      </w:pPr>
      <w:r w:rsidRPr="00266495">
        <w:rPr>
          <w:rFonts w:ascii="Arial" w:eastAsia="Arial" w:hAnsi="Arial" w:cs="Arial"/>
        </w:rPr>
        <w:t>(aa)</w:t>
      </w:r>
      <w:r w:rsidRPr="00266495">
        <w:rPr>
          <w:rFonts w:ascii="Arial" w:eastAsia="Arial" w:hAnsi="Arial" w:cs="Arial"/>
        </w:rPr>
        <w:tab/>
        <w:t>2021-22: 19% of all procurement</w:t>
      </w:r>
      <w:r>
        <w:rPr>
          <w:rFonts w:ascii="Arial" w:eastAsia="Arial" w:hAnsi="Arial" w:cs="Arial"/>
        </w:rPr>
        <w:t>;</w:t>
      </w:r>
    </w:p>
    <w:p w:rsidR="00AF58A4" w:rsidRPr="00266495" w:rsidRDefault="00AF58A4" w:rsidP="00AF58A4">
      <w:pPr>
        <w:pStyle w:val="ListParagraph"/>
        <w:spacing w:before="100" w:beforeAutospacing="1" w:after="100" w:afterAutospacing="1"/>
        <w:ind w:left="540"/>
        <w:jc w:val="both"/>
        <w:outlineLvl w:val="0"/>
        <w:rPr>
          <w:rFonts w:ascii="Arial" w:eastAsia="Arial" w:hAnsi="Arial" w:cs="Arial"/>
        </w:rPr>
      </w:pPr>
      <w:r w:rsidRPr="00266495">
        <w:rPr>
          <w:rFonts w:ascii="Arial" w:eastAsia="Arial" w:hAnsi="Arial" w:cs="Arial"/>
        </w:rPr>
        <w:t>(bb)</w:t>
      </w:r>
      <w:r w:rsidRPr="00266495">
        <w:rPr>
          <w:rFonts w:ascii="Arial" w:eastAsia="Arial" w:hAnsi="Arial" w:cs="Arial"/>
        </w:rPr>
        <w:tab/>
        <w:t>Since Apr 2023: 25% of all procurement.</w:t>
      </w:r>
    </w:p>
    <w:p w:rsidR="00AF58A4" w:rsidRPr="00266495" w:rsidRDefault="00AF58A4" w:rsidP="00AF58A4">
      <w:pPr>
        <w:pStyle w:val="ListParagraph"/>
        <w:spacing w:before="100" w:beforeAutospacing="1" w:after="100" w:afterAutospacing="1"/>
        <w:ind w:left="540"/>
        <w:jc w:val="both"/>
        <w:outlineLvl w:val="0"/>
        <w:rPr>
          <w:rFonts w:ascii="Arial" w:eastAsia="Arial" w:hAnsi="Arial" w:cs="Arial"/>
        </w:rPr>
      </w:pPr>
    </w:p>
    <w:p w:rsidR="00AF58A4" w:rsidRPr="00266495" w:rsidRDefault="00AF58A4" w:rsidP="00AF58A4">
      <w:pPr>
        <w:pStyle w:val="ListParagraph"/>
        <w:spacing w:before="100" w:beforeAutospacing="1" w:after="100" w:afterAutospacing="1"/>
        <w:ind w:left="540"/>
        <w:jc w:val="both"/>
        <w:outlineLvl w:val="0"/>
        <w:rPr>
          <w:rFonts w:ascii="Arial" w:eastAsia="Arial" w:hAnsi="Arial" w:cs="Arial"/>
        </w:rPr>
      </w:pPr>
      <w:r w:rsidRPr="00266495">
        <w:rPr>
          <w:rFonts w:ascii="Arial" w:eastAsia="Arial" w:hAnsi="Arial" w:cs="Arial"/>
        </w:rPr>
        <w:t>In response t</w:t>
      </w:r>
      <w:r>
        <w:rPr>
          <w:rFonts w:ascii="Arial" w:eastAsia="Arial" w:hAnsi="Arial" w:cs="Arial"/>
        </w:rPr>
        <w:t>o</w:t>
      </w:r>
      <w:r w:rsidRPr="00266495">
        <w:rPr>
          <w:rFonts w:ascii="Arial" w:eastAsia="Arial" w:hAnsi="Arial" w:cs="Arial"/>
        </w:rPr>
        <w:t xml:space="preserve"> (a)(ii) to (iv), please note that PPPFA Regulations 2017</w:t>
      </w:r>
      <w:r>
        <w:rPr>
          <w:rFonts w:ascii="Arial" w:eastAsia="Arial" w:hAnsi="Arial" w:cs="Arial"/>
        </w:rPr>
        <w:t xml:space="preserve"> </w:t>
      </w:r>
      <w:r w:rsidRPr="00266495">
        <w:rPr>
          <w:rFonts w:ascii="Arial" w:eastAsia="Arial" w:hAnsi="Arial" w:cs="Arial"/>
        </w:rPr>
        <w:t>and other National Treasury procurement rules and regulations did not allow for set asides. In terms of the PPPFA Regulations 2017, preference was given in terms of BBBEE status. Service providers also were not required to provide information regarding cooperatives and whether they were rural or township enterprises.</w:t>
      </w:r>
    </w:p>
    <w:p w:rsidR="00AF58A4" w:rsidRPr="00266495" w:rsidRDefault="00AF58A4" w:rsidP="00AF58A4">
      <w:pPr>
        <w:pStyle w:val="ListParagraph"/>
        <w:spacing w:before="100" w:beforeAutospacing="1" w:after="100" w:afterAutospacing="1"/>
        <w:ind w:left="540"/>
        <w:jc w:val="both"/>
        <w:outlineLvl w:val="0"/>
        <w:rPr>
          <w:rFonts w:ascii="Arial" w:eastAsia="Arial" w:hAnsi="Arial" w:cs="Arial"/>
        </w:rPr>
      </w:pPr>
    </w:p>
    <w:p w:rsidR="00AF58A4" w:rsidRPr="00266495" w:rsidRDefault="00AF58A4" w:rsidP="00AF58A4">
      <w:pPr>
        <w:pStyle w:val="ListParagraph"/>
        <w:spacing w:before="100" w:beforeAutospacing="1" w:after="100" w:afterAutospacing="1"/>
        <w:ind w:left="540"/>
        <w:jc w:val="both"/>
        <w:outlineLvl w:val="0"/>
        <w:rPr>
          <w:rFonts w:ascii="Arial" w:eastAsia="Arial" w:hAnsi="Arial" w:cs="Arial"/>
        </w:rPr>
      </w:pPr>
      <w:r w:rsidRPr="00266495">
        <w:rPr>
          <w:rFonts w:ascii="Arial" w:eastAsia="Arial" w:hAnsi="Arial" w:cs="Arial"/>
        </w:rPr>
        <w:t>The PPPFA Regulations of 2022, with effect from 16 January 2023, allow Department’s to develop their own goals.</w:t>
      </w:r>
    </w:p>
    <w:p w:rsidR="00AF58A4" w:rsidRPr="00266495" w:rsidRDefault="00AF58A4" w:rsidP="00AF58A4">
      <w:pPr>
        <w:pStyle w:val="ListParagraph"/>
        <w:spacing w:before="100" w:beforeAutospacing="1" w:after="100" w:afterAutospacing="1"/>
        <w:ind w:left="540"/>
        <w:jc w:val="both"/>
        <w:outlineLvl w:val="0"/>
        <w:rPr>
          <w:rFonts w:ascii="Arial" w:eastAsia="Arial" w:hAnsi="Arial" w:cs="Arial"/>
        </w:rPr>
      </w:pPr>
    </w:p>
    <w:p w:rsidR="00AF58A4" w:rsidRPr="00266495" w:rsidRDefault="00AF58A4" w:rsidP="00AF58A4">
      <w:pPr>
        <w:pStyle w:val="ListParagraph"/>
        <w:spacing w:before="100" w:beforeAutospacing="1" w:after="100" w:afterAutospacing="1"/>
        <w:ind w:left="540"/>
        <w:jc w:val="both"/>
        <w:outlineLvl w:val="0"/>
        <w:rPr>
          <w:rFonts w:ascii="Arial" w:eastAsia="Arial" w:hAnsi="Arial" w:cs="Arial"/>
        </w:rPr>
      </w:pPr>
      <w:r w:rsidRPr="00266495">
        <w:rPr>
          <w:rFonts w:ascii="Arial" w:eastAsia="Arial" w:hAnsi="Arial" w:cs="Arial"/>
        </w:rPr>
        <w:t>As the Department of Transport our policy includes promoting rural enterprises, as and when the Department procures for events in rural/township areas.</w:t>
      </w:r>
      <w:r>
        <w:rPr>
          <w:rFonts w:ascii="Arial" w:eastAsia="Arial" w:hAnsi="Arial" w:cs="Arial"/>
        </w:rPr>
        <w:t xml:space="preserve"> Rural and township enterprises can bid/quote for all requests via standard processes.</w:t>
      </w:r>
    </w:p>
    <w:p w:rsidR="00AF58A4" w:rsidRPr="00266495" w:rsidRDefault="00AF58A4" w:rsidP="00AF58A4">
      <w:pPr>
        <w:pStyle w:val="ListParagraph"/>
        <w:spacing w:before="100" w:beforeAutospacing="1" w:after="100" w:afterAutospacing="1"/>
        <w:ind w:left="540"/>
        <w:jc w:val="both"/>
        <w:outlineLvl w:val="0"/>
        <w:rPr>
          <w:rFonts w:ascii="Arial" w:eastAsia="Arial" w:hAnsi="Arial" w:cs="Arial"/>
        </w:rPr>
      </w:pPr>
    </w:p>
    <w:p w:rsidR="00AF58A4" w:rsidRPr="00266495" w:rsidRDefault="00AF58A4" w:rsidP="004362BC">
      <w:pPr>
        <w:pStyle w:val="ListParagraph"/>
        <w:spacing w:before="100" w:beforeAutospacing="1" w:after="100" w:afterAutospacing="1"/>
        <w:ind w:left="540"/>
        <w:jc w:val="both"/>
        <w:outlineLvl w:val="0"/>
        <w:rPr>
          <w:rFonts w:ascii="Arial" w:eastAsia="Arial" w:hAnsi="Arial" w:cs="Arial"/>
        </w:rPr>
      </w:pPr>
      <w:r w:rsidRPr="00266495">
        <w:rPr>
          <w:rFonts w:ascii="Arial" w:eastAsia="Arial" w:hAnsi="Arial" w:cs="Arial"/>
        </w:rPr>
        <w:t>Procurement processes and the Central Supplier Database do not prevent any supplier from registering</w:t>
      </w:r>
      <w:r>
        <w:rPr>
          <w:rFonts w:ascii="Arial" w:eastAsia="Arial" w:hAnsi="Arial" w:cs="Arial"/>
        </w:rPr>
        <w:t xml:space="preserve"> or contracting. H</w:t>
      </w:r>
      <w:r w:rsidRPr="00266495">
        <w:rPr>
          <w:rFonts w:ascii="Arial" w:eastAsia="Arial" w:hAnsi="Arial" w:cs="Arial"/>
        </w:rPr>
        <w:t>owever, there is no requirement to provide the requested information, which as such is not recorded by the Department</w:t>
      </w:r>
      <w:r>
        <w:rPr>
          <w:rFonts w:ascii="Arial" w:eastAsia="Arial" w:hAnsi="Arial" w:cs="Arial"/>
        </w:rPr>
        <w:t>.</w:t>
      </w:r>
      <w:r w:rsidRPr="00266495">
        <w:rPr>
          <w:rFonts w:ascii="Arial" w:eastAsia="Arial" w:hAnsi="Arial" w:cs="Arial"/>
        </w:rPr>
        <w:t xml:space="preserve">   </w:t>
      </w:r>
    </w:p>
    <w:p w:rsidR="00AF58A4" w:rsidRPr="00A71AB2" w:rsidRDefault="00AF58A4" w:rsidP="004362BC">
      <w:pPr>
        <w:spacing w:before="100" w:beforeAutospacing="1" w:after="100" w:afterAutospacing="1"/>
        <w:ind w:firstLine="540"/>
        <w:jc w:val="both"/>
        <w:outlineLvl w:val="0"/>
        <w:rPr>
          <w:rFonts w:ascii="Arial" w:eastAsia="Arial" w:hAnsi="Arial" w:cs="Arial"/>
          <w:b/>
        </w:rPr>
      </w:pPr>
      <w:r w:rsidRPr="00A71AB2">
        <w:rPr>
          <w:rFonts w:ascii="Arial" w:eastAsia="Arial" w:hAnsi="Arial" w:cs="Arial"/>
          <w:b/>
        </w:rPr>
        <w:t xml:space="preserve">Air Traffic and Navigation Services SOC Ltd </w:t>
      </w:r>
      <w:proofErr w:type="gramStart"/>
      <w:r>
        <w:rPr>
          <w:rFonts w:ascii="Arial" w:eastAsia="Arial" w:hAnsi="Arial" w:cs="Arial"/>
          <w:b/>
        </w:rPr>
        <w:t>(</w:t>
      </w:r>
      <w:r w:rsidR="004362BC">
        <w:rPr>
          <w:rFonts w:ascii="Arial" w:eastAsia="Arial" w:hAnsi="Arial" w:cs="Arial"/>
          <w:b/>
        </w:rPr>
        <w:t xml:space="preserve"> ATNS</w:t>
      </w:r>
      <w:proofErr w:type="gramEnd"/>
      <w:r w:rsidR="004362BC">
        <w:rPr>
          <w:rFonts w:ascii="Arial" w:eastAsia="Arial" w:hAnsi="Arial" w:cs="Arial"/>
          <w:b/>
        </w:rPr>
        <w:t>)</w:t>
      </w:r>
    </w:p>
    <w:p w:rsidR="00AF58A4" w:rsidRPr="001126A9" w:rsidRDefault="00AF58A4" w:rsidP="00AF58A4">
      <w:pPr>
        <w:pStyle w:val="ListParagraph"/>
        <w:spacing w:before="100" w:beforeAutospacing="1" w:after="100" w:afterAutospacing="1"/>
        <w:ind w:left="0" w:firstLine="540"/>
        <w:jc w:val="both"/>
        <w:outlineLvl w:val="0"/>
        <w:rPr>
          <w:rFonts w:ascii="Arial" w:hAnsi="Arial" w:cs="Arial"/>
        </w:rPr>
      </w:pPr>
      <w:r w:rsidRPr="00077CF0">
        <w:rPr>
          <w:rFonts w:ascii="Arial" w:hAnsi="Arial" w:cs="Arial"/>
        </w:rPr>
        <w:t>(aa) 2021-22 financial year</w:t>
      </w:r>
    </w:p>
    <w:tbl>
      <w:tblPr>
        <w:tblW w:w="6647" w:type="dxa"/>
        <w:tblInd w:w="132" w:type="dxa"/>
        <w:tblCellMar>
          <w:left w:w="0" w:type="dxa"/>
          <w:right w:w="0" w:type="dxa"/>
        </w:tblCellMar>
        <w:tblLook w:val="04A0"/>
      </w:tblPr>
      <w:tblGrid>
        <w:gridCol w:w="3544"/>
        <w:gridCol w:w="1701"/>
        <w:gridCol w:w="1644"/>
      </w:tblGrid>
      <w:tr w:rsidR="00AF58A4" w:rsidTr="00680103">
        <w:trPr>
          <w:trHeight w:val="570"/>
        </w:trPr>
        <w:tc>
          <w:tcPr>
            <w:tcW w:w="3544"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AF58A4" w:rsidRDefault="00AF58A4" w:rsidP="00680103">
            <w:pPr>
              <w:rPr>
                <w:rFonts w:ascii="Arial" w:hAnsi="Arial" w:cs="Arial"/>
                <w:b/>
                <w:bCs/>
                <w:color w:val="000000"/>
              </w:rPr>
            </w:pPr>
            <w:r>
              <w:rPr>
                <w:rFonts w:ascii="Arial" w:hAnsi="Arial" w:cs="Arial"/>
                <w:b/>
                <w:bCs/>
                <w:color w:val="000000"/>
              </w:rPr>
              <w:lastRenderedPageBreak/>
              <w:t>B-BBEE rating</w:t>
            </w:r>
          </w:p>
        </w:tc>
        <w:tc>
          <w:tcPr>
            <w:tcW w:w="1701" w:type="dxa"/>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rsidR="00AF58A4" w:rsidRDefault="00AF58A4" w:rsidP="00680103">
            <w:pPr>
              <w:jc w:val="center"/>
              <w:rPr>
                <w:rFonts w:ascii="Arial" w:hAnsi="Arial" w:cs="Arial"/>
                <w:b/>
                <w:bCs/>
                <w:color w:val="000000"/>
              </w:rPr>
            </w:pPr>
            <w:r>
              <w:rPr>
                <w:rFonts w:ascii="Arial" w:hAnsi="Arial" w:cs="Arial"/>
                <w:b/>
                <w:bCs/>
                <w:color w:val="000000"/>
              </w:rPr>
              <w:t>Number of suppliers</w:t>
            </w:r>
          </w:p>
        </w:tc>
        <w:tc>
          <w:tcPr>
            <w:tcW w:w="1402"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AF58A4" w:rsidRDefault="00AF58A4" w:rsidP="00680103">
            <w:pPr>
              <w:jc w:val="center"/>
              <w:rPr>
                <w:rFonts w:ascii="Arial" w:hAnsi="Arial" w:cs="Arial"/>
                <w:b/>
                <w:bCs/>
                <w:color w:val="000000"/>
              </w:rPr>
            </w:pPr>
            <w:r>
              <w:rPr>
                <w:rFonts w:ascii="Arial" w:hAnsi="Arial" w:cs="Arial"/>
                <w:b/>
                <w:bCs/>
                <w:color w:val="000000"/>
              </w:rPr>
              <w:t>Percentages (%)</w:t>
            </w:r>
          </w:p>
        </w:tc>
      </w:tr>
      <w:tr w:rsidR="00AF58A4" w:rsidTr="00680103">
        <w:trPr>
          <w:trHeight w:val="290"/>
        </w:trPr>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F58A4" w:rsidRDefault="00AF58A4" w:rsidP="00680103">
            <w:pPr>
              <w:rPr>
                <w:rFonts w:ascii="Arial" w:hAnsi="Arial" w:cs="Arial"/>
                <w:color w:val="000000"/>
              </w:rPr>
            </w:pPr>
            <w:r>
              <w:rPr>
                <w:rFonts w:ascii="Arial" w:hAnsi="Arial" w:cs="Arial"/>
                <w:color w:val="000000"/>
              </w:rPr>
              <w:t>Generic</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58A4" w:rsidRDefault="00AF58A4" w:rsidP="00680103">
            <w:pPr>
              <w:jc w:val="right"/>
              <w:rPr>
                <w:rFonts w:ascii="Arial" w:hAnsi="Arial" w:cs="Arial"/>
                <w:color w:val="000000"/>
              </w:rPr>
            </w:pPr>
            <w:r>
              <w:rPr>
                <w:rFonts w:ascii="Arial" w:hAnsi="Arial" w:cs="Arial"/>
                <w:color w:val="000000"/>
              </w:rPr>
              <w:t>140</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58A4" w:rsidRDefault="00AF58A4" w:rsidP="00680103">
            <w:pPr>
              <w:jc w:val="right"/>
              <w:rPr>
                <w:rFonts w:ascii="Arial" w:hAnsi="Arial" w:cs="Arial"/>
                <w:color w:val="000000"/>
              </w:rPr>
            </w:pPr>
            <w:r>
              <w:rPr>
                <w:rFonts w:ascii="Arial" w:hAnsi="Arial" w:cs="Arial"/>
                <w:color w:val="000000"/>
              </w:rPr>
              <w:t>26%</w:t>
            </w:r>
          </w:p>
        </w:tc>
      </w:tr>
      <w:tr w:rsidR="00AF58A4" w:rsidTr="00680103">
        <w:trPr>
          <w:trHeight w:val="290"/>
        </w:trPr>
        <w:tc>
          <w:tcPr>
            <w:tcW w:w="3544" w:type="dxa"/>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bottom"/>
            <w:hideMark/>
          </w:tcPr>
          <w:p w:rsidR="00AF58A4" w:rsidRPr="001126A9" w:rsidRDefault="00AF58A4" w:rsidP="00AF58A4">
            <w:pPr>
              <w:pStyle w:val="ListParagraph"/>
              <w:numPr>
                <w:ilvl w:val="0"/>
                <w:numId w:val="23"/>
              </w:numPr>
              <w:ind w:left="0" w:firstLine="0"/>
              <w:rPr>
                <w:rFonts w:ascii="Arial" w:hAnsi="Arial" w:cs="Arial"/>
                <w:b/>
                <w:bCs/>
                <w:color w:val="000000"/>
              </w:rPr>
            </w:pPr>
            <w:r w:rsidRPr="001126A9">
              <w:rPr>
                <w:rFonts w:ascii="Arial" w:hAnsi="Arial" w:cs="Arial"/>
                <w:b/>
                <w:bCs/>
                <w:color w:val="000000"/>
              </w:rPr>
              <w:t>SMMEs</w:t>
            </w:r>
          </w:p>
        </w:tc>
        <w:tc>
          <w:tcPr>
            <w:tcW w:w="1701"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bottom"/>
            <w:hideMark/>
          </w:tcPr>
          <w:p w:rsidR="00AF58A4" w:rsidRDefault="00AF58A4" w:rsidP="00680103">
            <w:pPr>
              <w:jc w:val="right"/>
              <w:rPr>
                <w:rFonts w:ascii="Arial" w:hAnsi="Arial" w:cs="Arial"/>
                <w:b/>
                <w:bCs/>
                <w:color w:val="000000"/>
              </w:rPr>
            </w:pPr>
            <w:r>
              <w:rPr>
                <w:rFonts w:ascii="Arial" w:hAnsi="Arial" w:cs="Arial"/>
                <w:b/>
                <w:bCs/>
                <w:color w:val="000000"/>
              </w:rPr>
              <w:t>244</w:t>
            </w:r>
          </w:p>
        </w:tc>
        <w:tc>
          <w:tcPr>
            <w:tcW w:w="1402"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bottom"/>
            <w:hideMark/>
          </w:tcPr>
          <w:p w:rsidR="00AF58A4" w:rsidRDefault="00AF58A4" w:rsidP="00680103">
            <w:pPr>
              <w:jc w:val="right"/>
              <w:rPr>
                <w:rFonts w:ascii="Arial" w:hAnsi="Arial" w:cs="Arial"/>
                <w:b/>
                <w:bCs/>
                <w:color w:val="000000"/>
              </w:rPr>
            </w:pPr>
            <w:r>
              <w:rPr>
                <w:rFonts w:ascii="Arial" w:hAnsi="Arial" w:cs="Arial"/>
                <w:b/>
                <w:bCs/>
                <w:color w:val="000000"/>
              </w:rPr>
              <w:t>46%</w:t>
            </w:r>
          </w:p>
        </w:tc>
      </w:tr>
      <w:tr w:rsidR="00AF58A4" w:rsidTr="00680103">
        <w:trPr>
          <w:trHeight w:val="290"/>
        </w:trPr>
        <w:tc>
          <w:tcPr>
            <w:tcW w:w="3544" w:type="dxa"/>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Pr="001126A9" w:rsidRDefault="00AF58A4" w:rsidP="00AF58A4">
            <w:pPr>
              <w:pStyle w:val="ListParagraph"/>
              <w:numPr>
                <w:ilvl w:val="0"/>
                <w:numId w:val="23"/>
              </w:numPr>
              <w:ind w:left="0" w:firstLine="0"/>
              <w:rPr>
                <w:rFonts w:ascii="Arial" w:hAnsi="Arial" w:cs="Arial"/>
                <w:b/>
                <w:bCs/>
                <w:color w:val="000000"/>
              </w:rPr>
            </w:pPr>
            <w:r w:rsidRPr="001126A9">
              <w:rPr>
                <w:rFonts w:ascii="Arial" w:hAnsi="Arial" w:cs="Arial"/>
                <w:b/>
                <w:bCs/>
                <w:color w:val="000000"/>
              </w:rPr>
              <w:t>Cooperatives</w:t>
            </w:r>
          </w:p>
        </w:tc>
        <w:tc>
          <w:tcPr>
            <w:tcW w:w="1701"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Default="00AF58A4" w:rsidP="00680103">
            <w:pPr>
              <w:jc w:val="right"/>
              <w:rPr>
                <w:rFonts w:ascii="Arial" w:hAnsi="Arial" w:cs="Arial"/>
                <w:b/>
                <w:bCs/>
                <w:color w:val="000000"/>
              </w:rPr>
            </w:pPr>
            <w:r>
              <w:rPr>
                <w:rFonts w:ascii="Arial" w:hAnsi="Arial" w:cs="Arial"/>
                <w:b/>
                <w:bCs/>
                <w:color w:val="000000"/>
              </w:rPr>
              <w:t>0</w:t>
            </w:r>
          </w:p>
        </w:tc>
        <w:tc>
          <w:tcPr>
            <w:tcW w:w="1402"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Default="00AF58A4" w:rsidP="00680103">
            <w:pPr>
              <w:jc w:val="right"/>
              <w:rPr>
                <w:rFonts w:ascii="Arial" w:hAnsi="Arial" w:cs="Arial"/>
                <w:b/>
                <w:bCs/>
                <w:color w:val="000000"/>
              </w:rPr>
            </w:pPr>
            <w:r>
              <w:rPr>
                <w:rFonts w:ascii="Arial" w:hAnsi="Arial" w:cs="Arial"/>
                <w:b/>
                <w:bCs/>
                <w:color w:val="000000"/>
              </w:rPr>
              <w:t>0%</w:t>
            </w:r>
          </w:p>
        </w:tc>
      </w:tr>
      <w:tr w:rsidR="00AF58A4" w:rsidTr="00680103">
        <w:trPr>
          <w:trHeight w:val="290"/>
        </w:trPr>
        <w:tc>
          <w:tcPr>
            <w:tcW w:w="3544" w:type="dxa"/>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Pr="001126A9" w:rsidRDefault="00AF58A4" w:rsidP="00AF58A4">
            <w:pPr>
              <w:pStyle w:val="ListParagraph"/>
              <w:numPr>
                <w:ilvl w:val="0"/>
                <w:numId w:val="23"/>
              </w:numPr>
              <w:ind w:left="0" w:firstLine="0"/>
              <w:rPr>
                <w:rFonts w:ascii="Arial" w:hAnsi="Arial" w:cs="Arial"/>
                <w:b/>
                <w:bCs/>
                <w:color w:val="000000"/>
              </w:rPr>
            </w:pPr>
            <w:r w:rsidRPr="001126A9">
              <w:rPr>
                <w:rFonts w:ascii="Arial" w:hAnsi="Arial" w:cs="Arial"/>
                <w:b/>
                <w:bCs/>
                <w:color w:val="000000"/>
              </w:rPr>
              <w:t>Township enterprises</w:t>
            </w:r>
          </w:p>
        </w:tc>
        <w:tc>
          <w:tcPr>
            <w:tcW w:w="1701"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Default="00AF58A4" w:rsidP="00680103">
            <w:pPr>
              <w:jc w:val="right"/>
              <w:rPr>
                <w:rFonts w:ascii="Arial" w:hAnsi="Arial" w:cs="Arial"/>
                <w:b/>
                <w:bCs/>
                <w:color w:val="000000"/>
              </w:rPr>
            </w:pPr>
            <w:r>
              <w:rPr>
                <w:rFonts w:ascii="Arial" w:hAnsi="Arial" w:cs="Arial"/>
                <w:b/>
                <w:bCs/>
                <w:color w:val="000000"/>
              </w:rPr>
              <w:t>13</w:t>
            </w:r>
          </w:p>
        </w:tc>
        <w:tc>
          <w:tcPr>
            <w:tcW w:w="1402"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Default="00AF58A4" w:rsidP="00680103">
            <w:pPr>
              <w:jc w:val="right"/>
              <w:rPr>
                <w:rFonts w:ascii="Arial" w:hAnsi="Arial" w:cs="Arial"/>
                <w:b/>
                <w:bCs/>
                <w:color w:val="000000"/>
              </w:rPr>
            </w:pPr>
            <w:r>
              <w:rPr>
                <w:rFonts w:ascii="Arial" w:hAnsi="Arial" w:cs="Arial"/>
                <w:b/>
                <w:bCs/>
                <w:color w:val="000000"/>
              </w:rPr>
              <w:t>2%</w:t>
            </w:r>
          </w:p>
        </w:tc>
      </w:tr>
      <w:tr w:rsidR="00AF58A4" w:rsidTr="00680103">
        <w:trPr>
          <w:trHeight w:val="290"/>
        </w:trPr>
        <w:tc>
          <w:tcPr>
            <w:tcW w:w="3544" w:type="dxa"/>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Pr="001126A9" w:rsidRDefault="00AF58A4" w:rsidP="00AF58A4">
            <w:pPr>
              <w:pStyle w:val="ListParagraph"/>
              <w:numPr>
                <w:ilvl w:val="0"/>
                <w:numId w:val="23"/>
              </w:numPr>
              <w:ind w:left="0" w:firstLine="0"/>
              <w:rPr>
                <w:rFonts w:ascii="Arial" w:hAnsi="Arial" w:cs="Arial"/>
                <w:b/>
                <w:bCs/>
                <w:color w:val="000000"/>
              </w:rPr>
            </w:pPr>
            <w:r w:rsidRPr="001126A9">
              <w:rPr>
                <w:rFonts w:ascii="Arial" w:hAnsi="Arial" w:cs="Arial"/>
                <w:b/>
                <w:bCs/>
                <w:color w:val="000000"/>
              </w:rPr>
              <w:t>Rural</w:t>
            </w:r>
          </w:p>
        </w:tc>
        <w:tc>
          <w:tcPr>
            <w:tcW w:w="1701"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Default="00AF58A4" w:rsidP="00680103">
            <w:pPr>
              <w:jc w:val="right"/>
              <w:rPr>
                <w:rFonts w:ascii="Arial" w:hAnsi="Arial" w:cs="Arial"/>
                <w:b/>
                <w:bCs/>
                <w:color w:val="000000"/>
              </w:rPr>
            </w:pPr>
            <w:r>
              <w:rPr>
                <w:rFonts w:ascii="Arial" w:hAnsi="Arial" w:cs="Arial"/>
                <w:b/>
                <w:bCs/>
                <w:color w:val="000000"/>
              </w:rPr>
              <w:t>18</w:t>
            </w:r>
          </w:p>
        </w:tc>
        <w:tc>
          <w:tcPr>
            <w:tcW w:w="1402"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Default="00AF58A4" w:rsidP="00680103">
            <w:pPr>
              <w:jc w:val="right"/>
              <w:rPr>
                <w:rFonts w:ascii="Arial" w:hAnsi="Arial" w:cs="Arial"/>
                <w:b/>
                <w:bCs/>
                <w:color w:val="000000"/>
              </w:rPr>
            </w:pPr>
            <w:r>
              <w:rPr>
                <w:rFonts w:ascii="Arial" w:hAnsi="Arial" w:cs="Arial"/>
                <w:b/>
                <w:bCs/>
                <w:color w:val="000000"/>
              </w:rPr>
              <w:t>3%</w:t>
            </w:r>
          </w:p>
        </w:tc>
      </w:tr>
      <w:tr w:rsidR="00AF58A4" w:rsidTr="00680103">
        <w:trPr>
          <w:trHeight w:val="1130"/>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58A4" w:rsidRDefault="00AF58A4" w:rsidP="00680103">
            <w:pPr>
              <w:rPr>
                <w:rFonts w:ascii="Arial" w:hAnsi="Arial" w:cs="Arial"/>
                <w:color w:val="000000"/>
              </w:rPr>
            </w:pPr>
            <w:r>
              <w:rPr>
                <w:rFonts w:ascii="Arial" w:hAnsi="Arial" w:cs="Arial"/>
                <w:color w:val="000000"/>
              </w:rPr>
              <w:t>Others (Municipalities, International Suppliers, Landlords, Government Departments, NGO, etc.,</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58A4" w:rsidRDefault="00AF58A4" w:rsidP="00680103">
            <w:pPr>
              <w:jc w:val="right"/>
              <w:rPr>
                <w:rFonts w:ascii="Arial" w:hAnsi="Arial" w:cs="Arial"/>
                <w:color w:val="000000"/>
              </w:rPr>
            </w:pPr>
            <w:r>
              <w:rPr>
                <w:rFonts w:ascii="Arial" w:hAnsi="Arial" w:cs="Arial"/>
                <w:color w:val="000000"/>
              </w:rPr>
              <w:t>118</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F58A4" w:rsidRDefault="00AF58A4" w:rsidP="00680103">
            <w:pPr>
              <w:jc w:val="right"/>
              <w:rPr>
                <w:rFonts w:ascii="Arial" w:hAnsi="Arial" w:cs="Arial"/>
                <w:color w:val="000000"/>
              </w:rPr>
            </w:pPr>
            <w:r>
              <w:rPr>
                <w:rFonts w:ascii="Arial" w:hAnsi="Arial" w:cs="Arial"/>
                <w:color w:val="000000"/>
              </w:rPr>
              <w:t>23%</w:t>
            </w:r>
          </w:p>
        </w:tc>
      </w:tr>
      <w:tr w:rsidR="00AF58A4" w:rsidTr="00680103">
        <w:trPr>
          <w:trHeight w:val="300"/>
        </w:trPr>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F58A4" w:rsidRPr="001126A9" w:rsidRDefault="00AF58A4" w:rsidP="00680103">
            <w:pPr>
              <w:rPr>
                <w:rFonts w:ascii="Arial" w:hAnsi="Arial" w:cs="Arial"/>
                <w:b/>
                <w:bCs/>
                <w:color w:val="000000"/>
              </w:rPr>
            </w:pPr>
            <w:r w:rsidRPr="001126A9">
              <w:rPr>
                <w:rFonts w:ascii="Arial" w:hAnsi="Arial" w:cs="Arial"/>
                <w:b/>
                <w:bCs/>
                <w:color w:val="000000"/>
              </w:rPr>
              <w:t>Total</w:t>
            </w:r>
          </w:p>
        </w:tc>
        <w:tc>
          <w:tcPr>
            <w:tcW w:w="1701" w:type="dxa"/>
            <w:tcBorders>
              <w:top w:val="nil"/>
              <w:left w:val="nil"/>
              <w:bottom w:val="double" w:sz="6" w:space="0" w:color="auto"/>
              <w:right w:val="single" w:sz="8" w:space="0" w:color="auto"/>
            </w:tcBorders>
            <w:noWrap/>
            <w:tcMar>
              <w:top w:w="0" w:type="dxa"/>
              <w:left w:w="108" w:type="dxa"/>
              <w:bottom w:w="0" w:type="dxa"/>
              <w:right w:w="108" w:type="dxa"/>
            </w:tcMar>
            <w:vAlign w:val="bottom"/>
            <w:hideMark/>
          </w:tcPr>
          <w:p w:rsidR="00AF58A4" w:rsidRPr="001126A9" w:rsidRDefault="00AF58A4" w:rsidP="00680103">
            <w:pPr>
              <w:jc w:val="right"/>
              <w:rPr>
                <w:rFonts w:ascii="Arial" w:hAnsi="Arial" w:cs="Arial"/>
                <w:b/>
                <w:bCs/>
                <w:color w:val="000000"/>
              </w:rPr>
            </w:pPr>
            <w:r w:rsidRPr="001126A9">
              <w:rPr>
                <w:rFonts w:ascii="Arial" w:hAnsi="Arial" w:cs="Arial"/>
                <w:b/>
                <w:bCs/>
                <w:color w:val="000000"/>
              </w:rPr>
              <w:t>533</w:t>
            </w:r>
          </w:p>
        </w:tc>
        <w:tc>
          <w:tcPr>
            <w:tcW w:w="1402" w:type="dxa"/>
            <w:tcBorders>
              <w:top w:val="nil"/>
              <w:left w:val="nil"/>
              <w:bottom w:val="double" w:sz="6" w:space="0" w:color="auto"/>
              <w:right w:val="single" w:sz="8" w:space="0" w:color="auto"/>
            </w:tcBorders>
            <w:noWrap/>
            <w:tcMar>
              <w:top w:w="0" w:type="dxa"/>
              <w:left w:w="108" w:type="dxa"/>
              <w:bottom w:w="0" w:type="dxa"/>
              <w:right w:w="108" w:type="dxa"/>
            </w:tcMar>
            <w:vAlign w:val="bottom"/>
            <w:hideMark/>
          </w:tcPr>
          <w:p w:rsidR="00AF58A4" w:rsidRPr="001126A9" w:rsidRDefault="00AF58A4" w:rsidP="00680103">
            <w:pPr>
              <w:jc w:val="right"/>
              <w:rPr>
                <w:rFonts w:ascii="Arial" w:hAnsi="Arial" w:cs="Arial"/>
                <w:b/>
                <w:bCs/>
                <w:color w:val="000000"/>
              </w:rPr>
            </w:pPr>
            <w:r w:rsidRPr="001126A9">
              <w:rPr>
                <w:rFonts w:ascii="Arial" w:hAnsi="Arial" w:cs="Arial"/>
                <w:b/>
                <w:bCs/>
                <w:color w:val="000000"/>
              </w:rPr>
              <w:t>100%</w:t>
            </w:r>
          </w:p>
        </w:tc>
      </w:tr>
    </w:tbl>
    <w:p w:rsidR="00AF58A4" w:rsidRPr="00642EBB" w:rsidRDefault="00AF58A4" w:rsidP="00AF58A4">
      <w:pPr>
        <w:pStyle w:val="ListParagraph"/>
        <w:spacing w:before="100" w:beforeAutospacing="1" w:after="100" w:afterAutospacing="1"/>
        <w:ind w:left="0"/>
        <w:jc w:val="both"/>
        <w:outlineLvl w:val="0"/>
        <w:rPr>
          <w:rFonts w:ascii="Arial" w:hAnsi="Arial" w:cs="Arial"/>
        </w:rPr>
      </w:pPr>
      <w:r w:rsidRPr="00077CF0">
        <w:rPr>
          <w:rFonts w:ascii="Arial" w:hAnsi="Arial" w:cs="Arial"/>
        </w:rPr>
        <w:t>(bb) since 1 April 2023</w:t>
      </w:r>
      <w:r>
        <w:rPr>
          <w:rFonts w:ascii="Arial" w:hAnsi="Arial" w:cs="Arial"/>
        </w:rPr>
        <w:t xml:space="preserve"> </w:t>
      </w:r>
    </w:p>
    <w:tbl>
      <w:tblPr>
        <w:tblW w:w="6647" w:type="dxa"/>
        <w:tblInd w:w="132" w:type="dxa"/>
        <w:tblCellMar>
          <w:left w:w="0" w:type="dxa"/>
          <w:right w:w="0" w:type="dxa"/>
        </w:tblCellMar>
        <w:tblLook w:val="04A0"/>
      </w:tblPr>
      <w:tblGrid>
        <w:gridCol w:w="3544"/>
        <w:gridCol w:w="1701"/>
        <w:gridCol w:w="1644"/>
      </w:tblGrid>
      <w:tr w:rsidR="00AF58A4" w:rsidTr="00680103">
        <w:trPr>
          <w:trHeight w:val="570"/>
        </w:trPr>
        <w:tc>
          <w:tcPr>
            <w:tcW w:w="3544"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AF58A4" w:rsidRDefault="00AF58A4" w:rsidP="00680103">
            <w:pPr>
              <w:rPr>
                <w:rFonts w:ascii="Arial" w:hAnsi="Arial" w:cs="Arial"/>
                <w:b/>
                <w:bCs/>
                <w:color w:val="000000"/>
              </w:rPr>
            </w:pPr>
            <w:r>
              <w:rPr>
                <w:rFonts w:ascii="Arial" w:hAnsi="Arial" w:cs="Arial"/>
                <w:b/>
                <w:bCs/>
                <w:color w:val="000000"/>
              </w:rPr>
              <w:t>B-BBEE rating</w:t>
            </w:r>
          </w:p>
        </w:tc>
        <w:tc>
          <w:tcPr>
            <w:tcW w:w="1701" w:type="dxa"/>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rsidR="00AF58A4" w:rsidRDefault="00AF58A4" w:rsidP="00680103">
            <w:pPr>
              <w:jc w:val="center"/>
              <w:rPr>
                <w:rFonts w:ascii="Arial" w:hAnsi="Arial" w:cs="Arial"/>
                <w:b/>
                <w:bCs/>
                <w:color w:val="000000"/>
              </w:rPr>
            </w:pPr>
            <w:r>
              <w:rPr>
                <w:rFonts w:ascii="Arial" w:hAnsi="Arial" w:cs="Arial"/>
                <w:b/>
                <w:bCs/>
                <w:color w:val="000000"/>
              </w:rPr>
              <w:t>Number of suppliers</w:t>
            </w:r>
          </w:p>
        </w:tc>
        <w:tc>
          <w:tcPr>
            <w:tcW w:w="1402"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AF58A4" w:rsidRDefault="00AF58A4" w:rsidP="00680103">
            <w:pPr>
              <w:jc w:val="center"/>
              <w:rPr>
                <w:rFonts w:ascii="Arial" w:hAnsi="Arial" w:cs="Arial"/>
                <w:b/>
                <w:bCs/>
                <w:color w:val="000000"/>
              </w:rPr>
            </w:pPr>
            <w:r>
              <w:rPr>
                <w:rFonts w:ascii="Arial" w:hAnsi="Arial" w:cs="Arial"/>
                <w:b/>
                <w:bCs/>
                <w:color w:val="000000"/>
              </w:rPr>
              <w:t>Percentages (%)</w:t>
            </w:r>
          </w:p>
        </w:tc>
      </w:tr>
      <w:tr w:rsidR="00AF58A4" w:rsidTr="00680103">
        <w:trPr>
          <w:trHeight w:val="290"/>
        </w:trPr>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F58A4" w:rsidRDefault="00AF58A4" w:rsidP="00680103">
            <w:pPr>
              <w:rPr>
                <w:rFonts w:ascii="Arial" w:hAnsi="Arial" w:cs="Arial"/>
                <w:color w:val="000000"/>
              </w:rPr>
            </w:pPr>
            <w:r>
              <w:rPr>
                <w:rFonts w:ascii="Arial" w:hAnsi="Arial" w:cs="Arial"/>
                <w:color w:val="000000"/>
              </w:rPr>
              <w:t>Generic</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AF58A4" w:rsidRPr="00125FC5" w:rsidRDefault="00AF58A4" w:rsidP="00680103">
            <w:pPr>
              <w:jc w:val="right"/>
              <w:rPr>
                <w:rFonts w:ascii="Arial" w:hAnsi="Arial" w:cs="Arial"/>
                <w:b/>
                <w:bCs/>
                <w:color w:val="000000"/>
              </w:rPr>
            </w:pPr>
            <w:r w:rsidRPr="00125FC5">
              <w:rPr>
                <w:rFonts w:ascii="Arial" w:hAnsi="Arial" w:cs="Arial"/>
                <w:b/>
                <w:bCs/>
                <w:color w:val="000000"/>
              </w:rPr>
              <w:t>3</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hideMark/>
          </w:tcPr>
          <w:p w:rsidR="00AF58A4" w:rsidRPr="00125FC5" w:rsidRDefault="00AF58A4" w:rsidP="00680103">
            <w:pPr>
              <w:jc w:val="right"/>
              <w:rPr>
                <w:rFonts w:ascii="Arial" w:hAnsi="Arial" w:cs="Arial"/>
                <w:b/>
                <w:bCs/>
                <w:color w:val="000000"/>
              </w:rPr>
            </w:pPr>
            <w:r w:rsidRPr="00125FC5">
              <w:rPr>
                <w:rFonts w:ascii="Arial" w:hAnsi="Arial" w:cs="Arial"/>
                <w:b/>
                <w:bCs/>
                <w:color w:val="000000"/>
              </w:rPr>
              <w:t>12%</w:t>
            </w:r>
          </w:p>
        </w:tc>
      </w:tr>
      <w:tr w:rsidR="00AF58A4" w:rsidTr="00680103">
        <w:trPr>
          <w:trHeight w:val="290"/>
        </w:trPr>
        <w:tc>
          <w:tcPr>
            <w:tcW w:w="3544" w:type="dxa"/>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bottom"/>
            <w:hideMark/>
          </w:tcPr>
          <w:p w:rsidR="00AF58A4" w:rsidRPr="00AE6800" w:rsidRDefault="00AF58A4" w:rsidP="00AF58A4">
            <w:pPr>
              <w:pStyle w:val="ListParagraph"/>
              <w:numPr>
                <w:ilvl w:val="0"/>
                <w:numId w:val="24"/>
              </w:numPr>
              <w:ind w:left="0" w:firstLine="0"/>
              <w:rPr>
                <w:rFonts w:ascii="Arial" w:hAnsi="Arial" w:cs="Arial"/>
                <w:b/>
                <w:bCs/>
                <w:color w:val="000000"/>
              </w:rPr>
            </w:pPr>
            <w:r w:rsidRPr="00AE6800">
              <w:rPr>
                <w:rFonts w:ascii="Arial" w:hAnsi="Arial" w:cs="Arial"/>
                <w:b/>
                <w:bCs/>
                <w:color w:val="000000"/>
              </w:rPr>
              <w:t>SMMEs</w:t>
            </w:r>
          </w:p>
        </w:tc>
        <w:tc>
          <w:tcPr>
            <w:tcW w:w="1701"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rsidR="00AF58A4" w:rsidRDefault="00AF58A4" w:rsidP="00680103">
            <w:pPr>
              <w:jc w:val="right"/>
              <w:rPr>
                <w:rFonts w:ascii="Arial" w:hAnsi="Arial" w:cs="Arial"/>
                <w:b/>
                <w:bCs/>
                <w:color w:val="000000"/>
              </w:rPr>
            </w:pPr>
            <w:r w:rsidRPr="00125FC5">
              <w:rPr>
                <w:rFonts w:ascii="Arial" w:hAnsi="Arial" w:cs="Arial"/>
                <w:b/>
                <w:bCs/>
                <w:color w:val="000000"/>
              </w:rPr>
              <w:t>20</w:t>
            </w:r>
          </w:p>
        </w:tc>
        <w:tc>
          <w:tcPr>
            <w:tcW w:w="1402"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rsidR="00AF58A4" w:rsidRDefault="00AF58A4" w:rsidP="00680103">
            <w:pPr>
              <w:jc w:val="right"/>
              <w:rPr>
                <w:rFonts w:ascii="Arial" w:hAnsi="Arial" w:cs="Arial"/>
                <w:b/>
                <w:bCs/>
                <w:color w:val="000000"/>
              </w:rPr>
            </w:pPr>
            <w:r w:rsidRPr="00125FC5">
              <w:rPr>
                <w:rFonts w:ascii="Arial" w:hAnsi="Arial" w:cs="Arial"/>
                <w:b/>
                <w:bCs/>
                <w:color w:val="000000"/>
              </w:rPr>
              <w:t>80%</w:t>
            </w:r>
          </w:p>
        </w:tc>
      </w:tr>
      <w:tr w:rsidR="00AF58A4" w:rsidTr="00680103">
        <w:trPr>
          <w:trHeight w:val="290"/>
        </w:trPr>
        <w:tc>
          <w:tcPr>
            <w:tcW w:w="3544" w:type="dxa"/>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Pr="00AE6800" w:rsidRDefault="00AF58A4" w:rsidP="00AF58A4">
            <w:pPr>
              <w:pStyle w:val="ListParagraph"/>
              <w:numPr>
                <w:ilvl w:val="0"/>
                <w:numId w:val="24"/>
              </w:numPr>
              <w:ind w:left="0" w:firstLine="0"/>
              <w:rPr>
                <w:rFonts w:ascii="Arial" w:hAnsi="Arial" w:cs="Arial"/>
                <w:b/>
                <w:bCs/>
                <w:color w:val="000000"/>
              </w:rPr>
            </w:pPr>
            <w:r w:rsidRPr="00AE6800">
              <w:rPr>
                <w:rFonts w:ascii="Arial" w:hAnsi="Arial" w:cs="Arial"/>
                <w:b/>
                <w:bCs/>
                <w:color w:val="000000"/>
              </w:rPr>
              <w:t>Cooperatives</w:t>
            </w:r>
          </w:p>
        </w:tc>
        <w:tc>
          <w:tcPr>
            <w:tcW w:w="1701"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rsidR="00AF58A4" w:rsidRDefault="00AF58A4" w:rsidP="00680103">
            <w:pPr>
              <w:jc w:val="right"/>
              <w:rPr>
                <w:rFonts w:ascii="Arial" w:hAnsi="Arial" w:cs="Arial"/>
                <w:b/>
                <w:bCs/>
                <w:color w:val="000000"/>
              </w:rPr>
            </w:pPr>
            <w:r w:rsidRPr="00125FC5">
              <w:rPr>
                <w:rFonts w:ascii="Arial" w:hAnsi="Arial" w:cs="Arial"/>
                <w:b/>
                <w:bCs/>
                <w:color w:val="000000"/>
              </w:rPr>
              <w:t>0</w:t>
            </w:r>
          </w:p>
        </w:tc>
        <w:tc>
          <w:tcPr>
            <w:tcW w:w="1402"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rsidR="00AF58A4" w:rsidRDefault="00AF58A4" w:rsidP="00680103">
            <w:pPr>
              <w:jc w:val="right"/>
              <w:rPr>
                <w:rFonts w:ascii="Arial" w:hAnsi="Arial" w:cs="Arial"/>
                <w:b/>
                <w:bCs/>
                <w:color w:val="000000"/>
              </w:rPr>
            </w:pPr>
            <w:r w:rsidRPr="00125FC5">
              <w:rPr>
                <w:rFonts w:ascii="Arial" w:hAnsi="Arial" w:cs="Arial"/>
                <w:b/>
                <w:bCs/>
                <w:color w:val="000000"/>
              </w:rPr>
              <w:t>0%</w:t>
            </w:r>
          </w:p>
        </w:tc>
      </w:tr>
      <w:tr w:rsidR="00AF58A4" w:rsidTr="00680103">
        <w:trPr>
          <w:trHeight w:val="290"/>
        </w:trPr>
        <w:tc>
          <w:tcPr>
            <w:tcW w:w="3544" w:type="dxa"/>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Pr="00AE6800" w:rsidRDefault="00AF58A4" w:rsidP="00AF58A4">
            <w:pPr>
              <w:pStyle w:val="ListParagraph"/>
              <w:numPr>
                <w:ilvl w:val="0"/>
                <w:numId w:val="24"/>
              </w:numPr>
              <w:ind w:left="0" w:firstLine="0"/>
              <w:rPr>
                <w:rFonts w:ascii="Arial" w:hAnsi="Arial" w:cs="Arial"/>
                <w:b/>
                <w:bCs/>
                <w:color w:val="000000"/>
              </w:rPr>
            </w:pPr>
            <w:r w:rsidRPr="00AE6800">
              <w:rPr>
                <w:rFonts w:ascii="Arial" w:hAnsi="Arial" w:cs="Arial"/>
                <w:b/>
                <w:bCs/>
                <w:color w:val="000000"/>
              </w:rPr>
              <w:t>Township enterprises</w:t>
            </w:r>
          </w:p>
        </w:tc>
        <w:tc>
          <w:tcPr>
            <w:tcW w:w="1701"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rsidR="00AF58A4" w:rsidRDefault="00AF58A4" w:rsidP="00680103">
            <w:pPr>
              <w:jc w:val="right"/>
              <w:rPr>
                <w:rFonts w:ascii="Arial" w:hAnsi="Arial" w:cs="Arial"/>
                <w:b/>
                <w:bCs/>
                <w:color w:val="000000"/>
              </w:rPr>
            </w:pPr>
            <w:r w:rsidRPr="00125FC5">
              <w:rPr>
                <w:rFonts w:ascii="Arial" w:hAnsi="Arial" w:cs="Arial"/>
                <w:b/>
                <w:bCs/>
                <w:color w:val="000000"/>
              </w:rPr>
              <w:t>1</w:t>
            </w:r>
          </w:p>
        </w:tc>
        <w:tc>
          <w:tcPr>
            <w:tcW w:w="1402"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rsidR="00AF58A4" w:rsidRDefault="00AF58A4" w:rsidP="00680103">
            <w:pPr>
              <w:jc w:val="right"/>
              <w:rPr>
                <w:rFonts w:ascii="Arial" w:hAnsi="Arial" w:cs="Arial"/>
                <w:b/>
                <w:bCs/>
                <w:color w:val="000000"/>
              </w:rPr>
            </w:pPr>
            <w:r w:rsidRPr="00125FC5">
              <w:rPr>
                <w:rFonts w:ascii="Arial" w:hAnsi="Arial" w:cs="Arial"/>
                <w:b/>
                <w:bCs/>
                <w:color w:val="000000"/>
              </w:rPr>
              <w:t>4%</w:t>
            </w:r>
          </w:p>
        </w:tc>
      </w:tr>
      <w:tr w:rsidR="00AF58A4" w:rsidTr="00680103">
        <w:trPr>
          <w:trHeight w:val="290"/>
        </w:trPr>
        <w:tc>
          <w:tcPr>
            <w:tcW w:w="3544" w:type="dxa"/>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center"/>
            <w:hideMark/>
          </w:tcPr>
          <w:p w:rsidR="00AF58A4" w:rsidRPr="00AE6800" w:rsidRDefault="00AF58A4" w:rsidP="00AF58A4">
            <w:pPr>
              <w:pStyle w:val="ListParagraph"/>
              <w:numPr>
                <w:ilvl w:val="0"/>
                <w:numId w:val="24"/>
              </w:numPr>
              <w:ind w:left="0" w:firstLine="0"/>
              <w:rPr>
                <w:rFonts w:ascii="Arial" w:hAnsi="Arial" w:cs="Arial"/>
                <w:b/>
                <w:bCs/>
                <w:color w:val="000000"/>
              </w:rPr>
            </w:pPr>
            <w:r w:rsidRPr="00AE6800">
              <w:rPr>
                <w:rFonts w:ascii="Arial" w:hAnsi="Arial" w:cs="Arial"/>
                <w:b/>
                <w:bCs/>
                <w:color w:val="000000"/>
              </w:rPr>
              <w:t>Rural</w:t>
            </w:r>
          </w:p>
        </w:tc>
        <w:tc>
          <w:tcPr>
            <w:tcW w:w="1701"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rsidR="00AF58A4" w:rsidRDefault="00AF58A4" w:rsidP="00680103">
            <w:pPr>
              <w:jc w:val="right"/>
              <w:rPr>
                <w:rFonts w:ascii="Arial" w:hAnsi="Arial" w:cs="Arial"/>
                <w:b/>
                <w:bCs/>
                <w:color w:val="000000"/>
              </w:rPr>
            </w:pPr>
            <w:r w:rsidRPr="00125FC5">
              <w:rPr>
                <w:rFonts w:ascii="Arial" w:hAnsi="Arial" w:cs="Arial"/>
                <w:b/>
                <w:bCs/>
                <w:color w:val="000000"/>
              </w:rPr>
              <w:t>1</w:t>
            </w:r>
          </w:p>
        </w:tc>
        <w:tc>
          <w:tcPr>
            <w:tcW w:w="1402" w:type="dxa"/>
            <w:tcBorders>
              <w:top w:val="nil"/>
              <w:left w:val="nil"/>
              <w:bottom w:val="single" w:sz="8" w:space="0" w:color="auto"/>
              <w:right w:val="single" w:sz="8" w:space="0" w:color="auto"/>
            </w:tcBorders>
            <w:shd w:val="clear" w:color="auto" w:fill="FBD4B4" w:themeFill="accent6" w:themeFillTint="66"/>
            <w:noWrap/>
            <w:tcMar>
              <w:top w:w="0" w:type="dxa"/>
              <w:left w:w="108" w:type="dxa"/>
              <w:bottom w:w="0" w:type="dxa"/>
              <w:right w:w="108" w:type="dxa"/>
            </w:tcMar>
            <w:hideMark/>
          </w:tcPr>
          <w:p w:rsidR="00AF58A4" w:rsidRDefault="00AF58A4" w:rsidP="00680103">
            <w:pPr>
              <w:jc w:val="right"/>
              <w:rPr>
                <w:rFonts w:ascii="Arial" w:hAnsi="Arial" w:cs="Arial"/>
                <w:b/>
                <w:bCs/>
                <w:color w:val="000000"/>
              </w:rPr>
            </w:pPr>
            <w:r w:rsidRPr="00125FC5">
              <w:rPr>
                <w:rFonts w:ascii="Arial" w:hAnsi="Arial" w:cs="Arial"/>
                <w:b/>
                <w:bCs/>
                <w:color w:val="000000"/>
              </w:rPr>
              <w:t>4%</w:t>
            </w:r>
          </w:p>
        </w:tc>
      </w:tr>
      <w:tr w:rsidR="00AF58A4" w:rsidTr="00680103">
        <w:trPr>
          <w:trHeight w:val="300"/>
        </w:trPr>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F58A4" w:rsidRPr="001126A9" w:rsidRDefault="00AF58A4" w:rsidP="00680103">
            <w:pPr>
              <w:rPr>
                <w:rFonts w:ascii="Arial" w:hAnsi="Arial" w:cs="Arial"/>
                <w:b/>
                <w:bCs/>
                <w:color w:val="000000"/>
              </w:rPr>
            </w:pPr>
            <w:r w:rsidRPr="001126A9">
              <w:rPr>
                <w:rFonts w:ascii="Arial" w:hAnsi="Arial" w:cs="Arial"/>
                <w:b/>
                <w:bCs/>
                <w:color w:val="000000"/>
              </w:rPr>
              <w:t>Total</w:t>
            </w:r>
          </w:p>
        </w:tc>
        <w:tc>
          <w:tcPr>
            <w:tcW w:w="1701" w:type="dxa"/>
            <w:tcBorders>
              <w:top w:val="nil"/>
              <w:left w:val="nil"/>
              <w:bottom w:val="double" w:sz="6" w:space="0" w:color="auto"/>
              <w:right w:val="single" w:sz="8" w:space="0" w:color="auto"/>
            </w:tcBorders>
            <w:noWrap/>
            <w:tcMar>
              <w:top w:w="0" w:type="dxa"/>
              <w:left w:w="108" w:type="dxa"/>
              <w:bottom w:w="0" w:type="dxa"/>
              <w:right w:w="108" w:type="dxa"/>
            </w:tcMar>
            <w:hideMark/>
          </w:tcPr>
          <w:p w:rsidR="00AF58A4" w:rsidRPr="001126A9" w:rsidRDefault="00AF58A4" w:rsidP="00680103">
            <w:pPr>
              <w:jc w:val="right"/>
              <w:rPr>
                <w:rFonts w:ascii="Arial" w:hAnsi="Arial" w:cs="Arial"/>
                <w:b/>
                <w:bCs/>
                <w:color w:val="000000"/>
              </w:rPr>
            </w:pPr>
            <w:r w:rsidRPr="00125FC5">
              <w:rPr>
                <w:rFonts w:ascii="Arial" w:hAnsi="Arial" w:cs="Arial"/>
                <w:b/>
                <w:bCs/>
                <w:color w:val="000000"/>
              </w:rPr>
              <w:t>25</w:t>
            </w:r>
          </w:p>
        </w:tc>
        <w:tc>
          <w:tcPr>
            <w:tcW w:w="1402" w:type="dxa"/>
            <w:tcBorders>
              <w:top w:val="nil"/>
              <w:left w:val="nil"/>
              <w:bottom w:val="double" w:sz="6" w:space="0" w:color="auto"/>
              <w:right w:val="single" w:sz="8" w:space="0" w:color="auto"/>
            </w:tcBorders>
            <w:noWrap/>
            <w:tcMar>
              <w:top w:w="0" w:type="dxa"/>
              <w:left w:w="108" w:type="dxa"/>
              <w:bottom w:w="0" w:type="dxa"/>
              <w:right w:w="108" w:type="dxa"/>
            </w:tcMar>
            <w:hideMark/>
          </w:tcPr>
          <w:p w:rsidR="00AF58A4" w:rsidRPr="001126A9" w:rsidRDefault="00AF58A4" w:rsidP="00680103">
            <w:pPr>
              <w:jc w:val="right"/>
              <w:rPr>
                <w:rFonts w:ascii="Arial" w:hAnsi="Arial" w:cs="Arial"/>
                <w:b/>
                <w:bCs/>
                <w:color w:val="000000"/>
              </w:rPr>
            </w:pPr>
            <w:r w:rsidRPr="00125FC5">
              <w:rPr>
                <w:rFonts w:ascii="Arial" w:hAnsi="Arial" w:cs="Arial"/>
                <w:b/>
                <w:bCs/>
                <w:color w:val="000000"/>
              </w:rPr>
              <w:t>100%</w:t>
            </w:r>
          </w:p>
        </w:tc>
      </w:tr>
    </w:tbl>
    <w:p w:rsidR="00AF58A4" w:rsidRDefault="00AF58A4" w:rsidP="00AF58A4">
      <w:pPr>
        <w:pStyle w:val="ListParagraph"/>
        <w:spacing w:before="100" w:beforeAutospacing="1" w:after="100" w:afterAutospacing="1"/>
        <w:ind w:left="0"/>
        <w:jc w:val="both"/>
        <w:outlineLvl w:val="0"/>
        <w:rPr>
          <w:rFonts w:ascii="Arial" w:eastAsia="Arial" w:hAnsi="Arial" w:cs="Arial"/>
          <w:b/>
        </w:rPr>
      </w:pPr>
    </w:p>
    <w:p w:rsidR="00AF58A4" w:rsidRDefault="00AF58A4" w:rsidP="00AF58A4">
      <w:pPr>
        <w:jc w:val="both"/>
        <w:rPr>
          <w:rFonts w:ascii="Arial" w:eastAsia="Arial" w:hAnsi="Arial" w:cs="Arial"/>
          <w:b/>
          <w:bCs/>
        </w:rPr>
      </w:pPr>
    </w:p>
    <w:p w:rsidR="00AF58A4" w:rsidRDefault="00AF58A4" w:rsidP="00AF58A4">
      <w:pPr>
        <w:spacing w:line="360" w:lineRule="auto"/>
        <w:jc w:val="both"/>
        <w:rPr>
          <w:rFonts w:ascii="Arial" w:eastAsia="Arial" w:hAnsi="Arial" w:cs="Arial"/>
          <w:b/>
          <w:bCs/>
        </w:rPr>
      </w:pPr>
      <w:r>
        <w:rPr>
          <w:rFonts w:ascii="Arial" w:eastAsia="Arial" w:hAnsi="Arial" w:cs="Arial"/>
          <w:b/>
          <w:bCs/>
        </w:rPr>
        <w:t>South African Civil Aviation Authority</w:t>
      </w:r>
      <w:r w:rsidR="004362BC">
        <w:rPr>
          <w:rFonts w:ascii="Arial" w:eastAsia="Arial" w:hAnsi="Arial" w:cs="Arial"/>
          <w:b/>
          <w:bCs/>
        </w:rPr>
        <w:t xml:space="preserve"> (SACAA)</w:t>
      </w:r>
    </w:p>
    <w:p w:rsidR="00AF58A4" w:rsidRDefault="00AF58A4" w:rsidP="00AF58A4">
      <w:pPr>
        <w:jc w:val="both"/>
        <w:rPr>
          <w:rFonts w:ascii="Arial" w:eastAsia="Arial" w:hAnsi="Arial" w:cs="Arial"/>
          <w:b/>
          <w:bCs/>
        </w:rPr>
      </w:pPr>
      <w:r>
        <w:rPr>
          <w:rFonts w:ascii="Arial" w:eastAsia="Arial" w:hAnsi="Arial" w:cs="Arial"/>
          <w:b/>
          <w:bCs/>
        </w:rPr>
        <w:t xml:space="preserve"> </w:t>
      </w:r>
    </w:p>
    <w:p w:rsidR="00AF58A4" w:rsidRPr="00311BA8" w:rsidRDefault="00AF58A4" w:rsidP="00AF58A4">
      <w:pPr>
        <w:pStyle w:val="ListParagraph"/>
        <w:numPr>
          <w:ilvl w:val="0"/>
          <w:numId w:val="25"/>
        </w:numPr>
        <w:spacing w:line="360" w:lineRule="auto"/>
        <w:ind w:left="0" w:firstLine="0"/>
        <w:jc w:val="both"/>
        <w:rPr>
          <w:rFonts w:ascii="Arial" w:eastAsia="Arial" w:hAnsi="Arial" w:cs="Arial"/>
        </w:rPr>
      </w:pPr>
      <w:r w:rsidRPr="00311BA8">
        <w:rPr>
          <w:rFonts w:ascii="Arial" w:eastAsia="Arial" w:hAnsi="Arial" w:cs="Arial"/>
        </w:rPr>
        <w:t>The procurement allocation</w:t>
      </w:r>
      <w:r>
        <w:rPr>
          <w:rFonts w:ascii="Arial" w:eastAsia="Arial" w:hAnsi="Arial" w:cs="Arial"/>
        </w:rPr>
        <w:t xml:space="preserve"> for the South African Civil Aviation Authority (SACAA)</w:t>
      </w:r>
      <w:r w:rsidRPr="00311BA8">
        <w:rPr>
          <w:rFonts w:ascii="Arial" w:eastAsia="Arial" w:hAnsi="Arial" w:cs="Arial"/>
        </w:rPr>
        <w:t>:</w:t>
      </w:r>
    </w:p>
    <w:p w:rsidR="00AF58A4" w:rsidRPr="00311BA8" w:rsidRDefault="00AF58A4" w:rsidP="00AF58A4">
      <w:pPr>
        <w:pStyle w:val="ListParagraph"/>
        <w:spacing w:after="280"/>
        <w:ind w:left="0"/>
        <w:jc w:val="both"/>
        <w:rPr>
          <w:rFonts w:ascii="Arial" w:eastAsia="Arial" w:hAnsi="Arial" w:cs="Arial"/>
        </w:rPr>
      </w:pPr>
    </w:p>
    <w:p w:rsidR="00AF58A4" w:rsidRDefault="00AF58A4" w:rsidP="00AF58A4">
      <w:pPr>
        <w:pStyle w:val="ListParagraph"/>
        <w:spacing w:after="280"/>
        <w:ind w:left="0"/>
        <w:jc w:val="both"/>
        <w:rPr>
          <w:rFonts w:ascii="Arial" w:eastAsia="Arial" w:hAnsi="Arial" w:cs="Arial"/>
        </w:rPr>
      </w:pPr>
      <w:r w:rsidRPr="00311BA8">
        <w:rPr>
          <w:rFonts w:ascii="Arial" w:eastAsia="Arial" w:hAnsi="Arial" w:cs="Arial"/>
        </w:rPr>
        <w:t>As per the SACAA approved budget the procurement allocation for goods and services for the following periods amount to:</w:t>
      </w:r>
    </w:p>
    <w:p w:rsidR="00AF58A4" w:rsidRPr="00311BA8" w:rsidRDefault="00AF58A4" w:rsidP="00AF58A4">
      <w:pPr>
        <w:pStyle w:val="ListParagraph"/>
        <w:spacing w:after="280"/>
        <w:ind w:left="0"/>
        <w:jc w:val="both"/>
        <w:rPr>
          <w:rFonts w:ascii="Arial" w:eastAsia="Arial" w:hAnsi="Arial" w:cs="Arial"/>
        </w:rPr>
      </w:pPr>
    </w:p>
    <w:p w:rsidR="00AF58A4" w:rsidRPr="00311BA8" w:rsidRDefault="00AF58A4" w:rsidP="00AF58A4">
      <w:pPr>
        <w:pStyle w:val="ListParagraph"/>
        <w:spacing w:line="276" w:lineRule="auto"/>
        <w:ind w:left="0"/>
        <w:jc w:val="both"/>
        <w:rPr>
          <w:rFonts w:ascii="Arial" w:eastAsia="Arial" w:hAnsi="Arial" w:cs="Arial"/>
        </w:rPr>
      </w:pPr>
      <w:r w:rsidRPr="00311BA8">
        <w:rPr>
          <w:rFonts w:ascii="Arial" w:eastAsia="Arial" w:hAnsi="Arial" w:cs="Arial"/>
        </w:rPr>
        <w:t xml:space="preserve">2021/2022 financial year amounts to </w:t>
      </w:r>
      <w:r w:rsidRPr="00311BA8">
        <w:rPr>
          <w:rFonts w:ascii="Arial" w:eastAsia="Arial" w:hAnsi="Arial" w:cs="Arial"/>
        </w:rPr>
        <w:tab/>
      </w:r>
      <w:r w:rsidRPr="00311BA8">
        <w:rPr>
          <w:rFonts w:ascii="Arial" w:eastAsia="Arial" w:hAnsi="Arial" w:cs="Arial"/>
        </w:rPr>
        <w:tab/>
        <w:t>R160 100 508</w:t>
      </w:r>
    </w:p>
    <w:p w:rsidR="00AF58A4" w:rsidRDefault="00AF58A4" w:rsidP="00AF58A4">
      <w:pPr>
        <w:pStyle w:val="ListParagraph"/>
        <w:spacing w:line="276" w:lineRule="auto"/>
        <w:ind w:left="0"/>
        <w:jc w:val="both"/>
        <w:rPr>
          <w:rFonts w:ascii="Arial" w:eastAsia="Arial" w:hAnsi="Arial" w:cs="Arial"/>
        </w:rPr>
      </w:pPr>
      <w:r w:rsidRPr="00311BA8">
        <w:rPr>
          <w:rFonts w:ascii="Arial" w:eastAsia="Arial" w:hAnsi="Arial" w:cs="Arial"/>
        </w:rPr>
        <w:t>2022/2023 financial year amounts to</w:t>
      </w:r>
      <w:r w:rsidRPr="00311BA8">
        <w:rPr>
          <w:rFonts w:ascii="Arial" w:eastAsia="Arial" w:hAnsi="Arial" w:cs="Arial"/>
        </w:rPr>
        <w:tab/>
      </w:r>
      <w:r w:rsidRPr="00311BA8">
        <w:rPr>
          <w:rFonts w:ascii="Arial" w:eastAsia="Arial" w:hAnsi="Arial" w:cs="Arial"/>
        </w:rPr>
        <w:tab/>
        <w:t>R212 735 409</w:t>
      </w:r>
    </w:p>
    <w:p w:rsidR="00AF58A4" w:rsidRDefault="00AF58A4" w:rsidP="00AF58A4">
      <w:pPr>
        <w:pStyle w:val="ListParagraph"/>
        <w:spacing w:line="276" w:lineRule="auto"/>
        <w:ind w:left="0"/>
        <w:jc w:val="both"/>
        <w:rPr>
          <w:rFonts w:ascii="Arial" w:eastAsia="Arial" w:hAnsi="Arial" w:cs="Arial"/>
        </w:rPr>
      </w:pPr>
      <w:r>
        <w:rPr>
          <w:rFonts w:ascii="Arial" w:eastAsia="Arial" w:hAnsi="Arial" w:cs="Arial"/>
        </w:rPr>
        <w:t>Since 1 April 2023</w:t>
      </w:r>
      <w:r>
        <w:rPr>
          <w:rFonts w:ascii="Arial" w:eastAsia="Arial" w:hAnsi="Arial" w:cs="Arial"/>
        </w:rPr>
        <w:tab/>
        <w:t xml:space="preserve"> to 30 April 2023</w:t>
      </w:r>
      <w:r>
        <w:rPr>
          <w:rFonts w:ascii="Arial" w:eastAsia="Arial" w:hAnsi="Arial" w:cs="Arial"/>
        </w:rPr>
        <w:tab/>
      </w:r>
      <w:r>
        <w:rPr>
          <w:rFonts w:ascii="Arial" w:eastAsia="Arial" w:hAnsi="Arial" w:cs="Arial"/>
        </w:rPr>
        <w:tab/>
        <w:t>R 18 154 964</w:t>
      </w:r>
    </w:p>
    <w:p w:rsidR="00AF58A4" w:rsidRDefault="00AF58A4" w:rsidP="00AF58A4">
      <w:pPr>
        <w:pStyle w:val="ListParagraph"/>
        <w:spacing w:after="280"/>
        <w:ind w:left="0"/>
        <w:jc w:val="both"/>
        <w:rPr>
          <w:rFonts w:ascii="Arial" w:eastAsia="Arial" w:hAnsi="Arial" w:cs="Arial"/>
        </w:rPr>
      </w:pPr>
    </w:p>
    <w:p w:rsidR="00AF58A4" w:rsidRDefault="00AF58A4" w:rsidP="00AF58A4">
      <w:pPr>
        <w:pStyle w:val="ListParagraph"/>
        <w:numPr>
          <w:ilvl w:val="0"/>
          <w:numId w:val="25"/>
        </w:numPr>
        <w:spacing w:after="280"/>
        <w:ind w:left="0" w:firstLine="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t>
      </w:r>
      <w:proofErr w:type="spellStart"/>
      <w:r>
        <w:rPr>
          <w:rFonts w:ascii="Arial" w:eastAsia="Arial" w:hAnsi="Arial" w:cs="Arial"/>
        </w:rPr>
        <w:t>aa</w:t>
      </w:r>
      <w:proofErr w:type="spellEnd"/>
      <w:r>
        <w:rPr>
          <w:rFonts w:ascii="Arial" w:eastAsia="Arial" w:hAnsi="Arial" w:cs="Arial"/>
        </w:rPr>
        <w:t>) (bb) % Allocated to Small, Medium and Micro Enterprises</w:t>
      </w:r>
    </w:p>
    <w:p w:rsidR="00AF58A4" w:rsidRDefault="00AF58A4" w:rsidP="00AF58A4">
      <w:pPr>
        <w:pStyle w:val="ListParagraph"/>
        <w:spacing w:after="280"/>
        <w:ind w:left="0"/>
        <w:jc w:val="both"/>
        <w:rPr>
          <w:rFonts w:ascii="Arial" w:eastAsia="Arial" w:hAnsi="Arial" w:cs="Arial"/>
        </w:rPr>
      </w:pPr>
    </w:p>
    <w:p w:rsidR="00AF58A4" w:rsidRPr="00311BA8" w:rsidRDefault="00AF58A4" w:rsidP="00AF58A4">
      <w:pPr>
        <w:pStyle w:val="ListParagraph"/>
        <w:spacing w:line="276" w:lineRule="auto"/>
        <w:ind w:left="0"/>
        <w:jc w:val="both"/>
        <w:rPr>
          <w:rFonts w:ascii="Arial" w:eastAsia="Arial" w:hAnsi="Arial" w:cs="Arial"/>
        </w:rPr>
      </w:pPr>
      <w:r w:rsidRPr="00311BA8">
        <w:rPr>
          <w:rFonts w:ascii="Arial" w:eastAsia="Arial" w:hAnsi="Arial" w:cs="Arial"/>
        </w:rPr>
        <w:t xml:space="preserve">2021/2022 financial year </w:t>
      </w:r>
      <w:r>
        <w:rPr>
          <w:rFonts w:ascii="Arial" w:eastAsia="Arial" w:hAnsi="Arial" w:cs="Arial"/>
        </w:rPr>
        <w:tab/>
      </w:r>
      <w:r>
        <w:rPr>
          <w:rFonts w:ascii="Arial" w:eastAsia="Arial" w:hAnsi="Arial" w:cs="Arial"/>
        </w:rPr>
        <w:tab/>
      </w:r>
      <w:r w:rsidRPr="00311BA8">
        <w:rPr>
          <w:rFonts w:ascii="Arial" w:eastAsia="Arial" w:hAnsi="Arial" w:cs="Arial"/>
        </w:rPr>
        <w:tab/>
      </w:r>
      <w:r w:rsidRPr="00311BA8">
        <w:rPr>
          <w:rFonts w:ascii="Arial" w:eastAsia="Arial" w:hAnsi="Arial" w:cs="Arial"/>
        </w:rPr>
        <w:tab/>
      </w:r>
      <w:r>
        <w:rPr>
          <w:rFonts w:ascii="Arial" w:eastAsia="Arial" w:hAnsi="Arial" w:cs="Arial"/>
        </w:rPr>
        <w:t>20%</w:t>
      </w:r>
    </w:p>
    <w:p w:rsidR="00AF58A4" w:rsidRDefault="00AF58A4" w:rsidP="00AF58A4">
      <w:pPr>
        <w:pStyle w:val="ListParagraph"/>
        <w:spacing w:line="276" w:lineRule="auto"/>
        <w:ind w:left="0"/>
        <w:jc w:val="both"/>
        <w:rPr>
          <w:rFonts w:ascii="Arial" w:eastAsia="Arial" w:hAnsi="Arial" w:cs="Arial"/>
        </w:rPr>
      </w:pPr>
      <w:r w:rsidRPr="00311BA8">
        <w:rPr>
          <w:rFonts w:ascii="Arial" w:eastAsia="Arial" w:hAnsi="Arial" w:cs="Arial"/>
        </w:rPr>
        <w:t>2022/2023 financial year</w:t>
      </w:r>
      <w:r>
        <w:rPr>
          <w:rFonts w:ascii="Arial" w:eastAsia="Arial" w:hAnsi="Arial" w:cs="Arial"/>
        </w:rPr>
        <w:tab/>
      </w:r>
      <w:r>
        <w:rPr>
          <w:rFonts w:ascii="Arial" w:eastAsia="Arial" w:hAnsi="Arial" w:cs="Arial"/>
        </w:rPr>
        <w:tab/>
      </w:r>
      <w:r w:rsidRPr="00311BA8">
        <w:rPr>
          <w:rFonts w:ascii="Arial" w:eastAsia="Arial" w:hAnsi="Arial" w:cs="Arial"/>
        </w:rPr>
        <w:tab/>
      </w:r>
      <w:r w:rsidRPr="00311BA8">
        <w:rPr>
          <w:rFonts w:ascii="Arial" w:eastAsia="Arial" w:hAnsi="Arial" w:cs="Arial"/>
        </w:rPr>
        <w:tab/>
      </w:r>
      <w:r>
        <w:rPr>
          <w:rFonts w:ascii="Arial" w:eastAsia="Arial" w:hAnsi="Arial" w:cs="Arial"/>
        </w:rPr>
        <w:t>20%</w:t>
      </w:r>
    </w:p>
    <w:p w:rsidR="00AF58A4" w:rsidRDefault="00AF58A4" w:rsidP="00AF58A4">
      <w:pPr>
        <w:pStyle w:val="ListParagraph"/>
        <w:spacing w:line="276" w:lineRule="auto"/>
        <w:ind w:left="0"/>
        <w:jc w:val="both"/>
        <w:rPr>
          <w:rFonts w:ascii="Arial" w:eastAsia="Arial" w:hAnsi="Arial" w:cs="Arial"/>
        </w:rPr>
      </w:pPr>
      <w:r>
        <w:rPr>
          <w:rFonts w:ascii="Arial" w:eastAsia="Arial" w:hAnsi="Arial" w:cs="Arial"/>
        </w:rPr>
        <w:t>Since 1 April 2023</w:t>
      </w:r>
      <w:r>
        <w:rPr>
          <w:rFonts w:ascii="Arial" w:eastAsia="Arial" w:hAnsi="Arial" w:cs="Arial"/>
        </w:rPr>
        <w:tab/>
        <w:t xml:space="preserve"> to 30 April 2023</w:t>
      </w:r>
      <w:r>
        <w:rPr>
          <w:rFonts w:ascii="Arial" w:eastAsia="Arial" w:hAnsi="Arial" w:cs="Arial"/>
        </w:rPr>
        <w:tab/>
      </w:r>
      <w:r>
        <w:rPr>
          <w:rFonts w:ascii="Arial" w:eastAsia="Arial" w:hAnsi="Arial" w:cs="Arial"/>
        </w:rPr>
        <w:tab/>
        <w:t>20%</w:t>
      </w:r>
    </w:p>
    <w:p w:rsidR="00AF58A4" w:rsidRDefault="00AF58A4" w:rsidP="00AF58A4">
      <w:pPr>
        <w:pStyle w:val="ListParagraph"/>
        <w:spacing w:after="280"/>
        <w:ind w:left="0"/>
        <w:jc w:val="both"/>
        <w:rPr>
          <w:rFonts w:ascii="Arial" w:eastAsia="Arial" w:hAnsi="Arial" w:cs="Arial"/>
        </w:rPr>
      </w:pPr>
    </w:p>
    <w:p w:rsidR="00AF58A4" w:rsidRDefault="00AF58A4" w:rsidP="00AF58A4">
      <w:pPr>
        <w:pStyle w:val="ListParagraph"/>
        <w:spacing w:after="280"/>
        <w:ind w:left="0"/>
        <w:jc w:val="both"/>
        <w:rPr>
          <w:rFonts w:ascii="Arial" w:eastAsia="Arial" w:hAnsi="Arial" w:cs="Arial"/>
        </w:rPr>
      </w:pPr>
      <w:r>
        <w:rPr>
          <w:rFonts w:ascii="Arial" w:eastAsia="Arial" w:hAnsi="Arial" w:cs="Arial"/>
        </w:rPr>
        <w:t>(ii) % Allocated to Cooperatives</w:t>
      </w:r>
    </w:p>
    <w:p w:rsidR="00AF58A4" w:rsidRDefault="00AF58A4" w:rsidP="00AF58A4">
      <w:pPr>
        <w:spacing w:after="280"/>
        <w:jc w:val="both"/>
        <w:rPr>
          <w:rFonts w:ascii="Arial" w:eastAsia="Arial" w:hAnsi="Arial" w:cs="Arial"/>
        </w:rPr>
      </w:pPr>
      <w:r>
        <w:rPr>
          <w:rFonts w:ascii="Arial" w:eastAsia="Arial" w:hAnsi="Arial" w:cs="Arial"/>
        </w:rPr>
        <w:t>No allocation made to cooperatives.</w:t>
      </w:r>
    </w:p>
    <w:p w:rsidR="00AF58A4" w:rsidRDefault="00AF58A4" w:rsidP="00AF58A4">
      <w:pPr>
        <w:pStyle w:val="ListParagraph"/>
        <w:spacing w:after="280"/>
        <w:ind w:left="0"/>
        <w:jc w:val="both"/>
        <w:rPr>
          <w:rFonts w:ascii="Arial" w:eastAsia="Arial" w:hAnsi="Arial" w:cs="Arial"/>
        </w:rPr>
      </w:pPr>
      <w:r>
        <w:rPr>
          <w:rFonts w:ascii="Arial" w:eastAsia="Arial" w:hAnsi="Arial" w:cs="Arial"/>
        </w:rPr>
        <w:t>(iii) % Allocated to Township Enterprises</w:t>
      </w:r>
    </w:p>
    <w:p w:rsidR="00AF58A4" w:rsidRDefault="00AF58A4" w:rsidP="00AF58A4">
      <w:pPr>
        <w:pStyle w:val="ListParagraph"/>
        <w:spacing w:after="280"/>
        <w:ind w:left="0"/>
        <w:jc w:val="both"/>
        <w:rPr>
          <w:rFonts w:ascii="Arial" w:eastAsia="Arial" w:hAnsi="Arial" w:cs="Arial"/>
        </w:rPr>
      </w:pPr>
    </w:p>
    <w:p w:rsidR="00AF58A4" w:rsidRPr="00A7309C" w:rsidRDefault="00AF58A4" w:rsidP="00AF58A4">
      <w:pPr>
        <w:pStyle w:val="ListParagraph"/>
        <w:spacing w:after="280"/>
        <w:ind w:left="0"/>
        <w:jc w:val="both"/>
        <w:rPr>
          <w:rFonts w:ascii="Arial" w:eastAsia="Arial" w:hAnsi="Arial" w:cs="Arial"/>
        </w:rPr>
      </w:pPr>
      <w:r w:rsidRPr="00A7309C">
        <w:rPr>
          <w:rFonts w:ascii="Arial" w:eastAsia="Arial" w:hAnsi="Arial" w:cs="Arial"/>
        </w:rPr>
        <w:t xml:space="preserve">No allocation made to </w:t>
      </w:r>
      <w:r>
        <w:rPr>
          <w:rFonts w:ascii="Arial" w:eastAsia="Arial" w:hAnsi="Arial" w:cs="Arial"/>
        </w:rPr>
        <w:t>Township Enterprises</w:t>
      </w:r>
      <w:r w:rsidRPr="00A7309C">
        <w:rPr>
          <w:rFonts w:ascii="Arial" w:eastAsia="Arial" w:hAnsi="Arial" w:cs="Arial"/>
        </w:rPr>
        <w:t>.</w:t>
      </w:r>
    </w:p>
    <w:p w:rsidR="00AF58A4" w:rsidRDefault="00AF58A4" w:rsidP="00AF58A4">
      <w:pPr>
        <w:pStyle w:val="ListParagraph"/>
        <w:spacing w:after="280"/>
        <w:ind w:left="0"/>
        <w:jc w:val="both"/>
        <w:rPr>
          <w:rFonts w:ascii="Arial" w:eastAsia="Arial" w:hAnsi="Arial" w:cs="Arial"/>
        </w:rPr>
      </w:pPr>
    </w:p>
    <w:p w:rsidR="00AF58A4" w:rsidRPr="00A7309C" w:rsidRDefault="00AF58A4" w:rsidP="00AF58A4">
      <w:pPr>
        <w:pStyle w:val="ListParagraph"/>
        <w:spacing w:after="280"/>
        <w:ind w:left="0"/>
        <w:jc w:val="both"/>
        <w:rPr>
          <w:rFonts w:ascii="Arial" w:eastAsia="Arial" w:hAnsi="Arial" w:cs="Arial"/>
        </w:rPr>
      </w:pPr>
      <w:r>
        <w:rPr>
          <w:rFonts w:ascii="Arial" w:eastAsia="Arial" w:hAnsi="Arial" w:cs="Arial"/>
        </w:rPr>
        <w:t>(iv) % Allocated Rural Enterprises</w:t>
      </w:r>
    </w:p>
    <w:p w:rsidR="00AF58A4" w:rsidRDefault="00AF58A4" w:rsidP="00AF58A4">
      <w:pPr>
        <w:spacing w:line="276" w:lineRule="auto"/>
        <w:jc w:val="both"/>
        <w:rPr>
          <w:rFonts w:ascii="Arial" w:eastAsia="Arial" w:hAnsi="Arial" w:cs="Arial"/>
          <w:b/>
        </w:rPr>
      </w:pPr>
      <w:r>
        <w:rPr>
          <w:rFonts w:ascii="Arial" w:eastAsia="Arial" w:hAnsi="Arial" w:cs="Arial"/>
        </w:rPr>
        <w:t>No allocation made to Rural Enterprises</w:t>
      </w:r>
    </w:p>
    <w:p w:rsidR="00AF58A4" w:rsidRDefault="00AF58A4" w:rsidP="00AF58A4">
      <w:pPr>
        <w:rPr>
          <w:rFonts w:ascii="Arial" w:eastAsia="Arial" w:hAnsi="Arial" w:cs="Arial"/>
          <w:b/>
        </w:rPr>
      </w:pPr>
      <w:r w:rsidRPr="00F614CE">
        <w:rPr>
          <w:rFonts w:ascii="Arial" w:eastAsia="Arial" w:hAnsi="Arial" w:cs="Arial"/>
          <w:b/>
        </w:rPr>
        <w:t>Airports Company South Africa SOC Ltd</w:t>
      </w:r>
      <w:r w:rsidR="004362BC">
        <w:rPr>
          <w:rFonts w:ascii="Arial" w:eastAsia="Arial" w:hAnsi="Arial" w:cs="Arial"/>
          <w:b/>
        </w:rPr>
        <w:t xml:space="preserve"> (ACSA)</w:t>
      </w:r>
    </w:p>
    <w:p w:rsidR="00AF58A4" w:rsidRPr="00F614CE" w:rsidRDefault="00AF58A4" w:rsidP="00AF58A4">
      <w:pPr>
        <w:rPr>
          <w:rFonts w:ascii="Arial" w:eastAsia="Arial" w:hAnsi="Arial" w:cs="Arial"/>
          <w:b/>
        </w:rPr>
      </w:pPr>
    </w:p>
    <w:p w:rsidR="00AF58A4" w:rsidRPr="002A5E4B" w:rsidRDefault="00AF58A4" w:rsidP="00AF58A4">
      <w:pPr>
        <w:pStyle w:val="ListParagraph"/>
        <w:spacing w:line="276" w:lineRule="auto"/>
        <w:ind w:left="0"/>
        <w:jc w:val="both"/>
        <w:outlineLvl w:val="0"/>
        <w:rPr>
          <w:rFonts w:ascii="Arial" w:eastAsia="Arial" w:hAnsi="Arial" w:cs="Arial"/>
          <w:bCs/>
        </w:rPr>
      </w:pPr>
      <w:r w:rsidRPr="002A5E4B">
        <w:rPr>
          <w:rFonts w:ascii="Arial" w:eastAsia="Arial" w:hAnsi="Arial" w:cs="Arial"/>
          <w:bCs/>
        </w:rPr>
        <w:t xml:space="preserve">The Total Procurement spend for the financial year 2022/23 (from April 2022 to March 2023) was R2 007 856 547. Spend with Broad Based Black Economic Empowerment (B-BBEE) companies was 73.50% (R1 475 774 562) of total Procurement spend. Qualifying Small Enterprises (QSE) and Exempted Micro Enterprises (EME) benefited 25.45% (R375 584 626) and 21.11% (R311 536 010) respectively, both against a target of 20% of total B-BBEE spend. The total spend with 30% or more Women Owned Businesses was 37.08% (R547 217 208) against a target of 20% and 51% Youth Owned businesses spend was 3.81% (R56 227 011) against a target of 10% of total B-BBEE spend. </w:t>
      </w:r>
    </w:p>
    <w:p w:rsidR="00AF58A4" w:rsidRPr="002A5E4B" w:rsidRDefault="00AF58A4" w:rsidP="00AF58A4">
      <w:pPr>
        <w:pStyle w:val="ListParagraph"/>
        <w:spacing w:before="100" w:beforeAutospacing="1" w:after="100" w:afterAutospacing="1"/>
        <w:ind w:left="540"/>
        <w:jc w:val="both"/>
        <w:outlineLvl w:val="0"/>
        <w:rPr>
          <w:rFonts w:ascii="Arial" w:eastAsia="Arial" w:hAnsi="Arial" w:cs="Arial"/>
          <w:bCs/>
        </w:rPr>
      </w:pPr>
    </w:p>
    <w:p w:rsidR="00AF58A4" w:rsidRPr="002A5E4B" w:rsidRDefault="00AF58A4" w:rsidP="00AF58A4">
      <w:pPr>
        <w:pStyle w:val="ListParagraph"/>
        <w:spacing w:line="276" w:lineRule="auto"/>
        <w:ind w:left="0"/>
        <w:jc w:val="both"/>
        <w:outlineLvl w:val="0"/>
        <w:rPr>
          <w:rFonts w:ascii="Arial" w:eastAsia="Arial" w:hAnsi="Arial" w:cs="Arial"/>
          <w:bCs/>
        </w:rPr>
      </w:pPr>
      <w:r w:rsidRPr="002A5E4B">
        <w:rPr>
          <w:rFonts w:ascii="Arial" w:eastAsia="Arial" w:hAnsi="Arial" w:cs="Arial"/>
          <w:bCs/>
        </w:rPr>
        <w:t>The targeted Procurement spend for Co-operatives, Township Enterprises and Rural Enterprises was 30% (R602 356 964) of total Procurement spend and 25% (R501 964 137) was achieved. There has not been spend with Rural Enterprises due to the location of our airports. The table below summarises the above statements:</w:t>
      </w:r>
    </w:p>
    <w:p w:rsidR="00AF58A4" w:rsidRDefault="00AF58A4" w:rsidP="00AF58A4">
      <w:pPr>
        <w:pStyle w:val="ListParagraph"/>
        <w:spacing w:line="276" w:lineRule="auto"/>
        <w:ind w:left="540"/>
        <w:jc w:val="both"/>
        <w:outlineLvl w:val="0"/>
        <w:rPr>
          <w:rFonts w:ascii="Arial" w:eastAsia="Arial" w:hAnsi="Arial" w:cs="Arial"/>
          <w:b/>
        </w:rPr>
      </w:pPr>
    </w:p>
    <w:tbl>
      <w:tblPr>
        <w:tblStyle w:val="TableGrid"/>
        <w:tblW w:w="0" w:type="auto"/>
        <w:tblInd w:w="-5" w:type="dxa"/>
        <w:tblLook w:val="04A0"/>
      </w:tblPr>
      <w:tblGrid>
        <w:gridCol w:w="394"/>
        <w:gridCol w:w="2128"/>
        <w:gridCol w:w="1186"/>
        <w:gridCol w:w="1701"/>
        <w:gridCol w:w="1134"/>
        <w:gridCol w:w="1864"/>
      </w:tblGrid>
      <w:tr w:rsidR="00AF58A4" w:rsidRPr="00E95D61" w:rsidTr="00680103">
        <w:tc>
          <w:tcPr>
            <w:tcW w:w="394" w:type="dxa"/>
            <w:shd w:val="clear" w:color="auto" w:fill="B8CCE4" w:themeFill="accent1" w:themeFillTint="66"/>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w:t>
            </w:r>
          </w:p>
        </w:tc>
        <w:tc>
          <w:tcPr>
            <w:tcW w:w="2128" w:type="dxa"/>
            <w:shd w:val="clear" w:color="auto" w:fill="B8CCE4" w:themeFill="accent1" w:themeFillTint="66"/>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DE</w:t>
            </w:r>
            <w:r>
              <w:rPr>
                <w:rFonts w:ascii="Arial" w:eastAsia="Arial" w:hAnsi="Arial" w:cs="Arial"/>
                <w:b/>
                <w:sz w:val="16"/>
                <w:szCs w:val="16"/>
              </w:rPr>
              <w:t>SCRIPTION</w:t>
            </w:r>
          </w:p>
        </w:tc>
        <w:tc>
          <w:tcPr>
            <w:tcW w:w="1186" w:type="dxa"/>
            <w:shd w:val="clear" w:color="auto" w:fill="B8CCE4" w:themeFill="accent1" w:themeFillTint="66"/>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TARGET</w:t>
            </w:r>
            <w:r>
              <w:rPr>
                <w:rFonts w:ascii="Arial" w:eastAsia="Arial" w:hAnsi="Arial" w:cs="Arial"/>
                <w:b/>
                <w:sz w:val="16"/>
                <w:szCs w:val="16"/>
              </w:rPr>
              <w:t xml:space="preserve"> </w:t>
            </w:r>
          </w:p>
        </w:tc>
        <w:tc>
          <w:tcPr>
            <w:tcW w:w="1701" w:type="dxa"/>
            <w:shd w:val="clear" w:color="auto" w:fill="B8CCE4" w:themeFill="accent1" w:themeFillTint="66"/>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 xml:space="preserve">ACTUAL </w:t>
            </w:r>
            <w:r>
              <w:rPr>
                <w:rFonts w:ascii="Arial" w:eastAsia="Arial" w:hAnsi="Arial" w:cs="Arial"/>
                <w:b/>
                <w:sz w:val="16"/>
                <w:szCs w:val="16"/>
              </w:rPr>
              <w:t>VALUE OF SPEND</w:t>
            </w:r>
            <w:r w:rsidRPr="00E95D61">
              <w:rPr>
                <w:rFonts w:ascii="Arial" w:eastAsia="Arial" w:hAnsi="Arial" w:cs="Arial"/>
                <w:b/>
                <w:sz w:val="16"/>
                <w:szCs w:val="16"/>
              </w:rPr>
              <w:t xml:space="preserve"> </w:t>
            </w:r>
          </w:p>
        </w:tc>
        <w:tc>
          <w:tcPr>
            <w:tcW w:w="1134" w:type="dxa"/>
            <w:shd w:val="clear" w:color="auto" w:fill="B8CCE4" w:themeFill="accent1" w:themeFillTint="66"/>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 xml:space="preserve">% </w:t>
            </w:r>
            <w:r>
              <w:rPr>
                <w:rFonts w:ascii="Arial" w:eastAsia="Arial" w:hAnsi="Arial" w:cs="Arial"/>
                <w:b/>
                <w:sz w:val="16"/>
                <w:szCs w:val="16"/>
              </w:rPr>
              <w:t>SPEND</w:t>
            </w:r>
          </w:p>
        </w:tc>
        <w:tc>
          <w:tcPr>
            <w:tcW w:w="1864" w:type="dxa"/>
            <w:shd w:val="clear" w:color="auto" w:fill="B8CCE4" w:themeFill="accent1" w:themeFillTint="66"/>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COMMENTS</w:t>
            </w:r>
          </w:p>
        </w:tc>
      </w:tr>
      <w:tr w:rsidR="00AF58A4" w:rsidRPr="00E95D61" w:rsidTr="00680103">
        <w:tc>
          <w:tcPr>
            <w:tcW w:w="39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1.</w:t>
            </w:r>
          </w:p>
        </w:tc>
        <w:tc>
          <w:tcPr>
            <w:tcW w:w="2128"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Total Procurement Spend</w:t>
            </w:r>
          </w:p>
        </w:tc>
        <w:tc>
          <w:tcPr>
            <w:tcW w:w="1186"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Pr>
                <w:rFonts w:ascii="Arial" w:eastAsia="Arial" w:hAnsi="Arial" w:cs="Arial"/>
                <w:b/>
                <w:sz w:val="16"/>
                <w:szCs w:val="16"/>
              </w:rPr>
              <w:t>P</w:t>
            </w:r>
            <w:r w:rsidRPr="00E95D61">
              <w:rPr>
                <w:rFonts w:ascii="Arial" w:eastAsia="Arial" w:hAnsi="Arial" w:cs="Arial"/>
                <w:b/>
                <w:sz w:val="16"/>
                <w:szCs w:val="16"/>
              </w:rPr>
              <w:t>er Budget</w:t>
            </w:r>
          </w:p>
        </w:tc>
        <w:tc>
          <w:tcPr>
            <w:tcW w:w="1701"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R2 007 856 547</w:t>
            </w:r>
          </w:p>
        </w:tc>
        <w:tc>
          <w:tcPr>
            <w:tcW w:w="1134"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100%</w:t>
            </w:r>
          </w:p>
        </w:tc>
        <w:tc>
          <w:tcPr>
            <w:tcW w:w="186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As per budget</w:t>
            </w:r>
          </w:p>
        </w:tc>
      </w:tr>
      <w:tr w:rsidR="00AF58A4" w:rsidRPr="00E95D61" w:rsidTr="00680103">
        <w:tc>
          <w:tcPr>
            <w:tcW w:w="39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2.</w:t>
            </w:r>
          </w:p>
        </w:tc>
        <w:tc>
          <w:tcPr>
            <w:tcW w:w="2128"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 xml:space="preserve">Broad Based Black Economic Empowerment (B-BBEE) </w:t>
            </w:r>
          </w:p>
        </w:tc>
        <w:tc>
          <w:tcPr>
            <w:tcW w:w="1186"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80%</w:t>
            </w:r>
          </w:p>
        </w:tc>
        <w:tc>
          <w:tcPr>
            <w:tcW w:w="1701"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R1 475 774 562</w:t>
            </w:r>
          </w:p>
        </w:tc>
        <w:tc>
          <w:tcPr>
            <w:tcW w:w="1134"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73.50%</w:t>
            </w:r>
          </w:p>
        </w:tc>
        <w:tc>
          <w:tcPr>
            <w:tcW w:w="186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As a % of Total Procurement Spend</w:t>
            </w:r>
          </w:p>
        </w:tc>
      </w:tr>
      <w:tr w:rsidR="00AF58A4" w:rsidRPr="00E95D61" w:rsidTr="00680103">
        <w:tc>
          <w:tcPr>
            <w:tcW w:w="39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3.</w:t>
            </w:r>
          </w:p>
        </w:tc>
        <w:tc>
          <w:tcPr>
            <w:tcW w:w="2128"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Qualifying Small Enterprises</w:t>
            </w:r>
          </w:p>
        </w:tc>
        <w:tc>
          <w:tcPr>
            <w:tcW w:w="1186"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20%</w:t>
            </w:r>
          </w:p>
        </w:tc>
        <w:tc>
          <w:tcPr>
            <w:tcW w:w="1701"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R375 584 626</w:t>
            </w:r>
          </w:p>
        </w:tc>
        <w:tc>
          <w:tcPr>
            <w:tcW w:w="1134"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25.45%</w:t>
            </w:r>
          </w:p>
        </w:tc>
        <w:tc>
          <w:tcPr>
            <w:tcW w:w="186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As a % of B-BBEE spend</w:t>
            </w:r>
          </w:p>
        </w:tc>
      </w:tr>
      <w:tr w:rsidR="00AF58A4" w:rsidRPr="00E95D61" w:rsidTr="00680103">
        <w:tc>
          <w:tcPr>
            <w:tcW w:w="39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4.</w:t>
            </w:r>
          </w:p>
        </w:tc>
        <w:tc>
          <w:tcPr>
            <w:tcW w:w="2128"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Exempted Micro Enterprises</w:t>
            </w:r>
          </w:p>
        </w:tc>
        <w:tc>
          <w:tcPr>
            <w:tcW w:w="1186"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20%</w:t>
            </w:r>
          </w:p>
        </w:tc>
        <w:tc>
          <w:tcPr>
            <w:tcW w:w="1701"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R311 536 010</w:t>
            </w:r>
          </w:p>
        </w:tc>
        <w:tc>
          <w:tcPr>
            <w:tcW w:w="1134"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21.11%</w:t>
            </w:r>
          </w:p>
        </w:tc>
        <w:tc>
          <w:tcPr>
            <w:tcW w:w="186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As a % of B-BBEE spend</w:t>
            </w:r>
          </w:p>
        </w:tc>
      </w:tr>
      <w:tr w:rsidR="00AF58A4" w:rsidRPr="00E95D61" w:rsidTr="00680103">
        <w:tc>
          <w:tcPr>
            <w:tcW w:w="39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5.</w:t>
            </w:r>
          </w:p>
        </w:tc>
        <w:tc>
          <w:tcPr>
            <w:tcW w:w="2128"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30% or more Women Owned Businesses</w:t>
            </w:r>
          </w:p>
        </w:tc>
        <w:tc>
          <w:tcPr>
            <w:tcW w:w="1186"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20%</w:t>
            </w:r>
          </w:p>
        </w:tc>
        <w:tc>
          <w:tcPr>
            <w:tcW w:w="1701"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R547 217 208</w:t>
            </w:r>
          </w:p>
        </w:tc>
        <w:tc>
          <w:tcPr>
            <w:tcW w:w="1134"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37.08%</w:t>
            </w:r>
          </w:p>
        </w:tc>
        <w:tc>
          <w:tcPr>
            <w:tcW w:w="186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As a % of B-BBEE spend</w:t>
            </w:r>
          </w:p>
        </w:tc>
      </w:tr>
      <w:tr w:rsidR="00AF58A4" w:rsidRPr="00E95D61" w:rsidTr="00680103">
        <w:tc>
          <w:tcPr>
            <w:tcW w:w="39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6.</w:t>
            </w:r>
          </w:p>
        </w:tc>
        <w:tc>
          <w:tcPr>
            <w:tcW w:w="2128"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51% Youth Owned Businesses</w:t>
            </w:r>
          </w:p>
        </w:tc>
        <w:tc>
          <w:tcPr>
            <w:tcW w:w="1186"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10%</w:t>
            </w:r>
          </w:p>
        </w:tc>
        <w:tc>
          <w:tcPr>
            <w:tcW w:w="1701"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R5</w:t>
            </w:r>
            <w:r>
              <w:rPr>
                <w:rFonts w:ascii="Arial" w:eastAsia="Arial" w:hAnsi="Arial" w:cs="Arial"/>
                <w:b/>
                <w:sz w:val="16"/>
                <w:szCs w:val="16"/>
              </w:rPr>
              <w:t>6 227 011</w:t>
            </w:r>
          </w:p>
        </w:tc>
        <w:tc>
          <w:tcPr>
            <w:tcW w:w="1134"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3.81%</w:t>
            </w:r>
          </w:p>
        </w:tc>
        <w:tc>
          <w:tcPr>
            <w:tcW w:w="186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As a % of B-BBEE spend</w:t>
            </w:r>
          </w:p>
        </w:tc>
      </w:tr>
      <w:tr w:rsidR="00AF58A4" w:rsidRPr="00E95D61" w:rsidTr="00680103">
        <w:tc>
          <w:tcPr>
            <w:tcW w:w="39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7.</w:t>
            </w:r>
          </w:p>
        </w:tc>
        <w:tc>
          <w:tcPr>
            <w:tcW w:w="2128"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Co-operatives</w:t>
            </w:r>
          </w:p>
        </w:tc>
        <w:tc>
          <w:tcPr>
            <w:tcW w:w="1186" w:type="dxa"/>
            <w:vMerge w:val="restart"/>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30%</w:t>
            </w:r>
          </w:p>
        </w:tc>
        <w:tc>
          <w:tcPr>
            <w:tcW w:w="1701"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R100 392 827</w:t>
            </w:r>
          </w:p>
        </w:tc>
        <w:tc>
          <w:tcPr>
            <w:tcW w:w="1134"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5.00%</w:t>
            </w:r>
          </w:p>
        </w:tc>
        <w:tc>
          <w:tcPr>
            <w:tcW w:w="1864" w:type="dxa"/>
            <w:vMerge w:val="restart"/>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As a % of Total Procurement Spend</w:t>
            </w:r>
          </w:p>
        </w:tc>
      </w:tr>
      <w:tr w:rsidR="00AF58A4" w:rsidRPr="00E95D61" w:rsidTr="00680103">
        <w:tc>
          <w:tcPr>
            <w:tcW w:w="39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8.</w:t>
            </w:r>
          </w:p>
        </w:tc>
        <w:tc>
          <w:tcPr>
            <w:tcW w:w="2128"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Township Enterprises</w:t>
            </w:r>
          </w:p>
        </w:tc>
        <w:tc>
          <w:tcPr>
            <w:tcW w:w="1186" w:type="dxa"/>
            <w:vMerge/>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p>
        </w:tc>
        <w:tc>
          <w:tcPr>
            <w:tcW w:w="1701"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R401 571 309</w:t>
            </w:r>
          </w:p>
        </w:tc>
        <w:tc>
          <w:tcPr>
            <w:tcW w:w="1134"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20%</w:t>
            </w:r>
          </w:p>
        </w:tc>
        <w:tc>
          <w:tcPr>
            <w:tcW w:w="1864" w:type="dxa"/>
            <w:vMerge/>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p>
        </w:tc>
      </w:tr>
      <w:tr w:rsidR="00AF58A4" w:rsidRPr="00E95D61" w:rsidTr="00680103">
        <w:tc>
          <w:tcPr>
            <w:tcW w:w="394"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9.</w:t>
            </w:r>
          </w:p>
        </w:tc>
        <w:tc>
          <w:tcPr>
            <w:tcW w:w="2128" w:type="dxa"/>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r w:rsidRPr="00E95D61">
              <w:rPr>
                <w:rFonts w:ascii="Arial" w:eastAsia="Arial" w:hAnsi="Arial" w:cs="Arial"/>
                <w:b/>
                <w:sz w:val="16"/>
                <w:szCs w:val="16"/>
              </w:rPr>
              <w:t>Rural Enterprises</w:t>
            </w:r>
          </w:p>
        </w:tc>
        <w:tc>
          <w:tcPr>
            <w:tcW w:w="1186" w:type="dxa"/>
            <w:vMerge/>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p>
        </w:tc>
        <w:tc>
          <w:tcPr>
            <w:tcW w:w="1701"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R0.00</w:t>
            </w:r>
          </w:p>
        </w:tc>
        <w:tc>
          <w:tcPr>
            <w:tcW w:w="1134" w:type="dxa"/>
            <w:vAlign w:val="center"/>
          </w:tcPr>
          <w:p w:rsidR="00AF58A4" w:rsidRPr="00E95D61" w:rsidRDefault="00AF58A4" w:rsidP="00680103">
            <w:pPr>
              <w:pStyle w:val="ListParagraph"/>
              <w:spacing w:before="100" w:beforeAutospacing="1" w:after="100" w:afterAutospacing="1"/>
              <w:ind w:left="0"/>
              <w:jc w:val="center"/>
              <w:outlineLvl w:val="0"/>
              <w:rPr>
                <w:rFonts w:ascii="Arial" w:eastAsia="Arial" w:hAnsi="Arial" w:cs="Arial"/>
                <w:b/>
                <w:sz w:val="16"/>
                <w:szCs w:val="16"/>
              </w:rPr>
            </w:pPr>
            <w:r w:rsidRPr="00E95D61">
              <w:rPr>
                <w:rFonts w:ascii="Arial" w:eastAsia="Arial" w:hAnsi="Arial" w:cs="Arial"/>
                <w:b/>
                <w:sz w:val="16"/>
                <w:szCs w:val="16"/>
              </w:rPr>
              <w:t>0%</w:t>
            </w:r>
          </w:p>
        </w:tc>
        <w:tc>
          <w:tcPr>
            <w:tcW w:w="1864" w:type="dxa"/>
            <w:vMerge/>
          </w:tcPr>
          <w:p w:rsidR="00AF58A4" w:rsidRPr="00E95D61" w:rsidRDefault="00AF58A4" w:rsidP="00680103">
            <w:pPr>
              <w:pStyle w:val="ListParagraph"/>
              <w:spacing w:before="100" w:beforeAutospacing="1" w:after="100" w:afterAutospacing="1"/>
              <w:ind w:left="0"/>
              <w:jc w:val="both"/>
              <w:outlineLvl w:val="0"/>
              <w:rPr>
                <w:rFonts w:ascii="Arial" w:eastAsia="Arial" w:hAnsi="Arial" w:cs="Arial"/>
                <w:b/>
                <w:sz w:val="16"/>
                <w:szCs w:val="16"/>
              </w:rPr>
            </w:pPr>
          </w:p>
        </w:tc>
      </w:tr>
    </w:tbl>
    <w:p w:rsidR="00AF58A4" w:rsidRDefault="00AF58A4" w:rsidP="00AF58A4">
      <w:pPr>
        <w:rPr>
          <w:rFonts w:ascii="Arial" w:eastAsia="Arial" w:hAnsi="Arial" w:cs="Arial"/>
        </w:rPr>
      </w:pPr>
    </w:p>
    <w:p w:rsidR="00AF58A4" w:rsidRDefault="00AF58A4" w:rsidP="004362BC">
      <w:pPr>
        <w:spacing w:before="100" w:beforeAutospacing="1" w:after="100" w:afterAutospacing="1"/>
        <w:jc w:val="both"/>
        <w:outlineLvl w:val="0"/>
        <w:rPr>
          <w:rFonts w:ascii="Arial" w:eastAsia="Arial" w:hAnsi="Arial" w:cs="Arial"/>
          <w:b/>
        </w:rPr>
        <w:sectPr w:rsidR="00AF58A4" w:rsidSect="00AF58A4">
          <w:pgSz w:w="12240" w:h="15840"/>
          <w:pgMar w:top="1418" w:right="1440" w:bottom="851" w:left="1843" w:header="709" w:footer="709" w:gutter="0"/>
          <w:pgNumType w:start="1"/>
          <w:cols w:space="720"/>
          <w:docGrid w:linePitch="326"/>
        </w:sectPr>
      </w:pPr>
    </w:p>
    <w:p w:rsidR="00FA1FE0" w:rsidRPr="004362BC" w:rsidRDefault="00FA1FE0" w:rsidP="004362BC">
      <w:pPr>
        <w:spacing w:before="100" w:beforeAutospacing="1" w:after="100" w:afterAutospacing="1"/>
        <w:jc w:val="both"/>
        <w:outlineLvl w:val="0"/>
        <w:rPr>
          <w:rFonts w:ascii="Arial" w:eastAsia="Arial" w:hAnsi="Arial" w:cs="Arial"/>
          <w:b/>
        </w:rPr>
      </w:pPr>
      <w:r w:rsidRPr="004362BC">
        <w:rPr>
          <w:rFonts w:ascii="Arial" w:eastAsia="Arial" w:hAnsi="Arial" w:cs="Arial"/>
          <w:b/>
        </w:rPr>
        <w:t>R</w:t>
      </w:r>
      <w:r w:rsidR="004362BC">
        <w:rPr>
          <w:rFonts w:ascii="Arial" w:eastAsia="Arial" w:hAnsi="Arial" w:cs="Arial"/>
          <w:b/>
        </w:rPr>
        <w:t>oad Traffic Management Corporation (R</w:t>
      </w:r>
      <w:r w:rsidRPr="004362BC">
        <w:rPr>
          <w:rFonts w:ascii="Arial" w:eastAsia="Arial" w:hAnsi="Arial" w:cs="Arial"/>
          <w:b/>
        </w:rPr>
        <w:t>TMC</w:t>
      </w:r>
      <w:r w:rsidR="004362BC">
        <w:rPr>
          <w:rFonts w:ascii="Arial" w:eastAsia="Arial" w:hAnsi="Arial" w:cs="Arial"/>
          <w:b/>
        </w:rPr>
        <w:t>)</w:t>
      </w:r>
    </w:p>
    <w:p w:rsidR="00E8335A" w:rsidRDefault="00995512" w:rsidP="00995512">
      <w:pPr>
        <w:spacing w:before="100" w:beforeAutospacing="1" w:after="100" w:afterAutospacing="1" w:line="360" w:lineRule="auto"/>
        <w:jc w:val="both"/>
        <w:outlineLvl w:val="0"/>
        <w:rPr>
          <w:rFonts w:ascii="Arial" w:hAnsi="Arial" w:cs="Arial"/>
          <w:sz w:val="22"/>
          <w:szCs w:val="22"/>
        </w:rPr>
      </w:pPr>
      <w:r w:rsidRPr="00995512">
        <w:rPr>
          <w:rFonts w:ascii="Arial" w:eastAsia="Arial" w:hAnsi="Arial" w:cs="Arial"/>
          <w:bCs/>
          <w:sz w:val="22"/>
          <w:szCs w:val="22"/>
        </w:rPr>
        <w:t>aa)</w:t>
      </w:r>
      <w:r w:rsidRPr="00995512">
        <w:rPr>
          <w:rFonts w:ascii="Arial" w:eastAsia="Arial" w:hAnsi="Arial" w:cs="Arial"/>
          <w:b/>
          <w:sz w:val="22"/>
          <w:szCs w:val="22"/>
        </w:rPr>
        <w:t xml:space="preserve"> </w:t>
      </w:r>
      <w:r w:rsidRPr="00995512">
        <w:rPr>
          <w:rFonts w:ascii="Arial" w:hAnsi="Arial" w:cs="Arial"/>
          <w:sz w:val="22"/>
          <w:szCs w:val="22"/>
        </w:rPr>
        <w:t xml:space="preserve">Below is a split of spend between suppliers that are Exempted Micro Enterprises (EME) and Qualifying Small Enterprises (QSE) for the </w:t>
      </w:r>
      <w:r>
        <w:rPr>
          <w:rFonts w:ascii="Arial" w:hAnsi="Arial" w:cs="Arial"/>
          <w:sz w:val="22"/>
          <w:szCs w:val="22"/>
        </w:rPr>
        <w:t>2021-22 financial year</w:t>
      </w:r>
      <w:r w:rsidR="002C6231">
        <w:rPr>
          <w:rFonts w:ascii="Arial" w:hAnsi="Arial" w:cs="Arial"/>
          <w:sz w:val="22"/>
          <w:szCs w:val="22"/>
        </w:rPr>
        <w:t xml:space="preserve"> indicating the designated groups</w:t>
      </w:r>
      <w:r>
        <w:rPr>
          <w:rFonts w:ascii="Arial" w:hAnsi="Arial" w:cs="Arial"/>
          <w:sz w:val="22"/>
          <w:szCs w:val="22"/>
        </w:rPr>
        <w:t>.</w:t>
      </w:r>
    </w:p>
    <w:tbl>
      <w:tblPr>
        <w:tblW w:w="5000" w:type="pct"/>
        <w:tblLook w:val="04A0"/>
      </w:tblPr>
      <w:tblGrid>
        <w:gridCol w:w="1495"/>
        <w:gridCol w:w="2002"/>
        <w:gridCol w:w="1328"/>
        <w:gridCol w:w="1650"/>
        <w:gridCol w:w="1389"/>
        <w:gridCol w:w="1309"/>
      </w:tblGrid>
      <w:tr w:rsidR="005E06CA" w:rsidTr="00FF0D42">
        <w:trPr>
          <w:trHeight w:val="780"/>
        </w:trPr>
        <w:tc>
          <w:tcPr>
            <w:tcW w:w="1918" w:type="pct"/>
            <w:gridSpan w:val="2"/>
            <w:tcBorders>
              <w:top w:val="single" w:sz="4" w:space="0" w:color="auto"/>
              <w:left w:val="single" w:sz="4" w:space="0" w:color="auto"/>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 SPEND BREAKDOWN</w:t>
            </w:r>
          </w:p>
        </w:tc>
        <w:tc>
          <w:tcPr>
            <w:tcW w:w="730" w:type="pct"/>
            <w:tcBorders>
              <w:top w:val="single" w:sz="4" w:space="0" w:color="auto"/>
              <w:left w:val="nil"/>
              <w:bottom w:val="single" w:sz="4" w:space="0" w:color="auto"/>
              <w:right w:val="single" w:sz="4" w:space="0" w:color="auto"/>
            </w:tcBorders>
            <w:shd w:val="clear" w:color="000000" w:fill="B4C6E7"/>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HDI</w:t>
            </w:r>
          </w:p>
        </w:tc>
        <w:tc>
          <w:tcPr>
            <w:tcW w:w="870"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GOVERNMENT ENTITIES (Exempted)</w:t>
            </w:r>
          </w:p>
        </w:tc>
        <w:tc>
          <w:tcPr>
            <w:tcW w:w="763"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OTHER</w:t>
            </w:r>
          </w:p>
        </w:tc>
        <w:tc>
          <w:tcPr>
            <w:tcW w:w="719"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w:t>
            </w:r>
          </w:p>
        </w:tc>
      </w:tr>
      <w:tr w:rsidR="005E06CA" w:rsidTr="00FF0D42">
        <w:trPr>
          <w:trHeight w:val="400"/>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Mar-22</w:t>
            </w:r>
          </w:p>
        </w:tc>
        <w:tc>
          <w:tcPr>
            <w:tcW w:w="1097"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 CUMMULATIVE</w:t>
            </w:r>
          </w:p>
        </w:tc>
        <w:tc>
          <w:tcPr>
            <w:tcW w:w="730"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R596 536 722</w:t>
            </w:r>
          </w:p>
        </w:tc>
        <w:tc>
          <w:tcPr>
            <w:tcW w:w="870"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R110 383 973</w:t>
            </w:r>
          </w:p>
        </w:tc>
        <w:tc>
          <w:tcPr>
            <w:tcW w:w="763"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R234 963 706</w:t>
            </w:r>
          </w:p>
        </w:tc>
        <w:tc>
          <w:tcPr>
            <w:tcW w:w="719"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R941 884 402</w:t>
            </w:r>
          </w:p>
        </w:tc>
      </w:tr>
      <w:tr w:rsidR="005E06CA" w:rsidTr="00FF0D42">
        <w:trPr>
          <w:trHeight w:val="400"/>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 </w:t>
            </w:r>
          </w:p>
        </w:tc>
        <w:tc>
          <w:tcPr>
            <w:tcW w:w="1097"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 </w:t>
            </w:r>
          </w:p>
        </w:tc>
        <w:tc>
          <w:tcPr>
            <w:tcW w:w="730"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63%</w:t>
            </w:r>
          </w:p>
        </w:tc>
        <w:tc>
          <w:tcPr>
            <w:tcW w:w="870"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12%</w:t>
            </w:r>
          </w:p>
        </w:tc>
        <w:tc>
          <w:tcPr>
            <w:tcW w:w="763"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25%</w:t>
            </w:r>
          </w:p>
        </w:tc>
        <w:tc>
          <w:tcPr>
            <w:tcW w:w="719"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100%</w:t>
            </w:r>
          </w:p>
        </w:tc>
      </w:tr>
    </w:tbl>
    <w:tbl>
      <w:tblPr>
        <w:tblpPr w:leftFromText="180" w:rightFromText="180" w:vertAnchor="text" w:horzAnchor="margin" w:tblpY="558"/>
        <w:tblW w:w="5000" w:type="pct"/>
        <w:tblLook w:val="04A0"/>
      </w:tblPr>
      <w:tblGrid>
        <w:gridCol w:w="1355"/>
        <w:gridCol w:w="1820"/>
        <w:gridCol w:w="1043"/>
        <w:gridCol w:w="1202"/>
        <w:gridCol w:w="1239"/>
        <w:gridCol w:w="1328"/>
        <w:gridCol w:w="1186"/>
      </w:tblGrid>
      <w:tr w:rsidR="00FF0D42" w:rsidTr="00FF0D42">
        <w:trPr>
          <w:trHeight w:val="1040"/>
        </w:trPr>
        <w:tc>
          <w:tcPr>
            <w:tcW w:w="1773" w:type="pct"/>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HDI BREAKDOWN</w:t>
            </w:r>
          </w:p>
        </w:tc>
        <w:tc>
          <w:tcPr>
            <w:tcW w:w="589" w:type="pct"/>
            <w:tcBorders>
              <w:top w:val="single" w:sz="4" w:space="0" w:color="auto"/>
              <w:left w:val="nil"/>
              <w:bottom w:val="single" w:sz="4" w:space="0" w:color="auto"/>
              <w:right w:val="single" w:sz="4" w:space="0" w:color="auto"/>
            </w:tcBorders>
            <w:shd w:val="clear" w:color="000000" w:fill="B4C6E7"/>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YOUTH</w:t>
            </w:r>
          </w:p>
        </w:tc>
        <w:tc>
          <w:tcPr>
            <w:tcW w:w="676" w:type="pct"/>
            <w:tcBorders>
              <w:top w:val="single" w:sz="4" w:space="0" w:color="auto"/>
              <w:left w:val="nil"/>
              <w:bottom w:val="single" w:sz="4" w:space="0" w:color="auto"/>
              <w:right w:val="single" w:sz="4" w:space="0" w:color="auto"/>
            </w:tcBorders>
            <w:shd w:val="clear" w:color="000000" w:fill="B4C6E7"/>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WOMEN</w:t>
            </w:r>
          </w:p>
        </w:tc>
        <w:tc>
          <w:tcPr>
            <w:tcW w:w="696" w:type="pct"/>
            <w:tcBorders>
              <w:top w:val="single" w:sz="4" w:space="0" w:color="auto"/>
              <w:left w:val="nil"/>
              <w:bottom w:val="single" w:sz="4" w:space="0" w:color="auto"/>
              <w:right w:val="single" w:sz="4" w:space="0" w:color="auto"/>
            </w:tcBorders>
            <w:shd w:val="clear" w:color="000000" w:fill="B4C6E7"/>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OTHER BLACK OWNED ENTITIES</w:t>
            </w:r>
          </w:p>
        </w:tc>
        <w:tc>
          <w:tcPr>
            <w:tcW w:w="598" w:type="pct"/>
            <w:tcBorders>
              <w:top w:val="single" w:sz="4" w:space="0" w:color="auto"/>
              <w:left w:val="nil"/>
              <w:bottom w:val="single" w:sz="4" w:space="0" w:color="auto"/>
              <w:right w:val="single" w:sz="4" w:space="0" w:color="auto"/>
            </w:tcBorders>
            <w:shd w:val="clear" w:color="000000" w:fill="B4C6E7"/>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DISABILITY</w:t>
            </w:r>
          </w:p>
        </w:tc>
        <w:tc>
          <w:tcPr>
            <w:tcW w:w="667" w:type="pct"/>
            <w:tcBorders>
              <w:top w:val="single" w:sz="4" w:space="0" w:color="auto"/>
              <w:left w:val="nil"/>
              <w:bottom w:val="single" w:sz="4" w:space="0" w:color="auto"/>
              <w:right w:val="single" w:sz="4" w:space="0" w:color="auto"/>
            </w:tcBorders>
            <w:shd w:val="clear" w:color="000000" w:fill="B4C6E7"/>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TOTAL</w:t>
            </w:r>
          </w:p>
        </w:tc>
      </w:tr>
      <w:tr w:rsidR="00FF0D42" w:rsidTr="00FF0D42">
        <w:trPr>
          <w:trHeight w:val="40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Mar-22</w:t>
            </w:r>
          </w:p>
        </w:tc>
        <w:tc>
          <w:tcPr>
            <w:tcW w:w="1013"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TOTAL CUMMULATIVE</w:t>
            </w:r>
          </w:p>
        </w:tc>
        <w:tc>
          <w:tcPr>
            <w:tcW w:w="589"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R9 231 045</w:t>
            </w:r>
          </w:p>
        </w:tc>
        <w:tc>
          <w:tcPr>
            <w:tcW w:w="676"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R239 463 796</w:t>
            </w:r>
          </w:p>
        </w:tc>
        <w:tc>
          <w:tcPr>
            <w:tcW w:w="696"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R346 161 406</w:t>
            </w:r>
          </w:p>
        </w:tc>
        <w:tc>
          <w:tcPr>
            <w:tcW w:w="598"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R1 680 475</w:t>
            </w:r>
          </w:p>
        </w:tc>
        <w:tc>
          <w:tcPr>
            <w:tcW w:w="667"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R596 536 722</w:t>
            </w:r>
          </w:p>
        </w:tc>
      </w:tr>
      <w:tr w:rsidR="00FF0D42" w:rsidTr="00FF0D42">
        <w:trPr>
          <w:trHeight w:val="40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 </w:t>
            </w:r>
          </w:p>
        </w:tc>
        <w:tc>
          <w:tcPr>
            <w:tcW w:w="1013"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 </w:t>
            </w:r>
          </w:p>
        </w:tc>
        <w:tc>
          <w:tcPr>
            <w:tcW w:w="589"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2%</w:t>
            </w:r>
          </w:p>
        </w:tc>
        <w:tc>
          <w:tcPr>
            <w:tcW w:w="676"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40%</w:t>
            </w:r>
          </w:p>
        </w:tc>
        <w:tc>
          <w:tcPr>
            <w:tcW w:w="696"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58%</w:t>
            </w:r>
          </w:p>
        </w:tc>
        <w:tc>
          <w:tcPr>
            <w:tcW w:w="598"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0%</w:t>
            </w:r>
          </w:p>
        </w:tc>
        <w:tc>
          <w:tcPr>
            <w:tcW w:w="667" w:type="pct"/>
            <w:tcBorders>
              <w:top w:val="nil"/>
              <w:left w:val="nil"/>
              <w:bottom w:val="single" w:sz="4" w:space="0" w:color="auto"/>
              <w:right w:val="single" w:sz="4" w:space="0" w:color="auto"/>
            </w:tcBorders>
            <w:shd w:val="clear" w:color="auto" w:fill="auto"/>
            <w:vAlign w:val="center"/>
            <w:hideMark/>
          </w:tcPr>
          <w:p w:rsidR="00FF0D42" w:rsidRDefault="00FF0D42" w:rsidP="00FF0D42">
            <w:pPr>
              <w:jc w:val="center"/>
              <w:rPr>
                <w:rFonts w:ascii="Arial" w:hAnsi="Arial" w:cs="Arial"/>
                <w:b/>
                <w:bCs/>
                <w:color w:val="000000"/>
                <w:sz w:val="20"/>
                <w:szCs w:val="20"/>
              </w:rPr>
            </w:pPr>
            <w:r>
              <w:rPr>
                <w:rFonts w:ascii="Arial" w:hAnsi="Arial" w:cs="Arial"/>
                <w:b/>
                <w:bCs/>
                <w:color w:val="000000"/>
                <w:sz w:val="20"/>
                <w:szCs w:val="20"/>
              </w:rPr>
              <w:t>100%</w:t>
            </w:r>
          </w:p>
        </w:tc>
      </w:tr>
    </w:tbl>
    <w:p w:rsidR="00995512" w:rsidRDefault="00995512" w:rsidP="005E06CA">
      <w:pPr>
        <w:spacing w:before="100" w:beforeAutospacing="1" w:after="100" w:afterAutospacing="1" w:line="360" w:lineRule="auto"/>
        <w:ind w:left="-1134"/>
        <w:jc w:val="both"/>
        <w:outlineLvl w:val="0"/>
        <w:rPr>
          <w:rFonts w:ascii="Arial" w:hAnsi="Arial" w:cs="Arial"/>
          <w:sz w:val="22"/>
          <w:szCs w:val="22"/>
        </w:rPr>
      </w:pPr>
    </w:p>
    <w:p w:rsidR="005E06CA" w:rsidRDefault="005E06CA" w:rsidP="005E06CA">
      <w:pPr>
        <w:spacing w:before="100" w:beforeAutospacing="1" w:after="100" w:afterAutospacing="1" w:line="360" w:lineRule="auto"/>
        <w:ind w:left="-1134"/>
        <w:jc w:val="both"/>
        <w:outlineLvl w:val="0"/>
        <w:rPr>
          <w:rFonts w:ascii="Arial" w:hAnsi="Arial" w:cs="Arial"/>
          <w:sz w:val="22"/>
          <w:szCs w:val="22"/>
        </w:rPr>
      </w:pPr>
    </w:p>
    <w:tbl>
      <w:tblPr>
        <w:tblW w:w="5000" w:type="pct"/>
        <w:tblLook w:val="04A0"/>
      </w:tblPr>
      <w:tblGrid>
        <w:gridCol w:w="418"/>
        <w:gridCol w:w="2113"/>
        <w:gridCol w:w="953"/>
        <w:gridCol w:w="1138"/>
        <w:gridCol w:w="1138"/>
        <w:gridCol w:w="1137"/>
        <w:gridCol w:w="1138"/>
        <w:gridCol w:w="1138"/>
      </w:tblGrid>
      <w:tr w:rsidR="005E06CA" w:rsidTr="00FF0D42">
        <w:trPr>
          <w:trHeight w:val="770"/>
        </w:trPr>
        <w:tc>
          <w:tcPr>
            <w:tcW w:w="1324" w:type="pct"/>
            <w:gridSpan w:val="2"/>
            <w:tcBorders>
              <w:top w:val="single" w:sz="4" w:space="0" w:color="auto"/>
              <w:left w:val="single" w:sz="4" w:space="0" w:color="auto"/>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 SPEND BREAKDOWN OF HDI</w:t>
            </w:r>
          </w:p>
        </w:tc>
        <w:tc>
          <w:tcPr>
            <w:tcW w:w="587"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YOUTH</w:t>
            </w:r>
          </w:p>
        </w:tc>
        <w:tc>
          <w:tcPr>
            <w:tcW w:w="610"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WOMEN</w:t>
            </w:r>
          </w:p>
        </w:tc>
        <w:tc>
          <w:tcPr>
            <w:tcW w:w="630"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OTHER BLACK OWNED ENTITIES</w:t>
            </w:r>
          </w:p>
        </w:tc>
        <w:tc>
          <w:tcPr>
            <w:tcW w:w="596"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DISABILITY</w:t>
            </w:r>
          </w:p>
        </w:tc>
        <w:tc>
          <w:tcPr>
            <w:tcW w:w="596"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 xml:space="preserve">TOTAL HDI SPEND </w:t>
            </w:r>
          </w:p>
        </w:tc>
        <w:tc>
          <w:tcPr>
            <w:tcW w:w="658"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w:t>
            </w:r>
          </w:p>
        </w:tc>
      </w:tr>
      <w:tr w:rsidR="005E06CA" w:rsidTr="00FF0D42">
        <w:trPr>
          <w:trHeight w:val="400"/>
        </w:trPr>
        <w:tc>
          <w:tcPr>
            <w:tcW w:w="204" w:type="pct"/>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SMME ANALYSIS</w:t>
            </w:r>
          </w:p>
        </w:tc>
        <w:tc>
          <w:tcPr>
            <w:tcW w:w="11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color w:val="000000"/>
                <w:sz w:val="20"/>
                <w:szCs w:val="20"/>
              </w:rPr>
            </w:pPr>
            <w:r>
              <w:rPr>
                <w:rFonts w:ascii="Arial" w:hAnsi="Arial" w:cs="Arial"/>
                <w:color w:val="000000"/>
                <w:sz w:val="20"/>
                <w:szCs w:val="20"/>
              </w:rPr>
              <w:t>Spend on EME</w:t>
            </w:r>
          </w:p>
        </w:tc>
        <w:tc>
          <w:tcPr>
            <w:tcW w:w="587"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4 063 106</w:t>
            </w:r>
          </w:p>
        </w:tc>
        <w:tc>
          <w:tcPr>
            <w:tcW w:w="610"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28 980 709</w:t>
            </w:r>
          </w:p>
        </w:tc>
        <w:tc>
          <w:tcPr>
            <w:tcW w:w="630"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115 822 136</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1 680 475</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150 538 775</w:t>
            </w:r>
          </w:p>
        </w:tc>
        <w:tc>
          <w:tcPr>
            <w:tcW w:w="658"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150 538 775</w:t>
            </w:r>
          </w:p>
        </w:tc>
      </w:tr>
      <w:tr w:rsidR="005E06CA" w:rsidTr="00FF0D42">
        <w:trPr>
          <w:trHeight w:val="400"/>
        </w:trPr>
        <w:tc>
          <w:tcPr>
            <w:tcW w:w="204"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20"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w:t>
            </w:r>
          </w:p>
        </w:tc>
        <w:tc>
          <w:tcPr>
            <w:tcW w:w="610"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5%</w:t>
            </w:r>
          </w:p>
        </w:tc>
        <w:tc>
          <w:tcPr>
            <w:tcW w:w="630"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19%</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16%</w:t>
            </w:r>
          </w:p>
        </w:tc>
        <w:tc>
          <w:tcPr>
            <w:tcW w:w="658"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25%</w:t>
            </w:r>
          </w:p>
        </w:tc>
      </w:tr>
      <w:tr w:rsidR="005E06CA" w:rsidTr="00FF0D42">
        <w:trPr>
          <w:trHeight w:val="400"/>
        </w:trPr>
        <w:tc>
          <w:tcPr>
            <w:tcW w:w="204"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color w:val="000000"/>
                <w:sz w:val="20"/>
                <w:szCs w:val="20"/>
              </w:rPr>
            </w:pPr>
            <w:r>
              <w:rPr>
                <w:rFonts w:ascii="Arial" w:hAnsi="Arial" w:cs="Arial"/>
                <w:color w:val="000000"/>
                <w:sz w:val="20"/>
                <w:szCs w:val="20"/>
              </w:rPr>
              <w:t>Spend on QSE</w:t>
            </w:r>
          </w:p>
        </w:tc>
        <w:tc>
          <w:tcPr>
            <w:tcW w:w="587"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4 587 217</w:t>
            </w:r>
          </w:p>
        </w:tc>
        <w:tc>
          <w:tcPr>
            <w:tcW w:w="610"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48 291 444</w:t>
            </w:r>
          </w:p>
        </w:tc>
        <w:tc>
          <w:tcPr>
            <w:tcW w:w="630"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70 431 574</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7 650</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123 310 235</w:t>
            </w:r>
          </w:p>
        </w:tc>
        <w:tc>
          <w:tcPr>
            <w:tcW w:w="658"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123 310 235</w:t>
            </w:r>
          </w:p>
        </w:tc>
      </w:tr>
      <w:tr w:rsidR="005E06CA" w:rsidTr="00FF0D42">
        <w:trPr>
          <w:trHeight w:val="400"/>
        </w:trPr>
        <w:tc>
          <w:tcPr>
            <w:tcW w:w="204"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20"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4%</w:t>
            </w:r>
          </w:p>
        </w:tc>
        <w:tc>
          <w:tcPr>
            <w:tcW w:w="610"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8%</w:t>
            </w:r>
          </w:p>
        </w:tc>
        <w:tc>
          <w:tcPr>
            <w:tcW w:w="630"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12%</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13%</w:t>
            </w:r>
          </w:p>
        </w:tc>
        <w:tc>
          <w:tcPr>
            <w:tcW w:w="658"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24%</w:t>
            </w:r>
          </w:p>
        </w:tc>
      </w:tr>
      <w:tr w:rsidR="005E06CA" w:rsidTr="00FF0D42">
        <w:trPr>
          <w:trHeight w:val="400"/>
        </w:trPr>
        <w:tc>
          <w:tcPr>
            <w:tcW w:w="204"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color w:val="000000"/>
                <w:sz w:val="20"/>
                <w:szCs w:val="20"/>
              </w:rPr>
            </w:pPr>
            <w:r>
              <w:rPr>
                <w:rFonts w:ascii="Arial" w:hAnsi="Arial" w:cs="Arial"/>
                <w:color w:val="000000"/>
                <w:sz w:val="20"/>
                <w:szCs w:val="20"/>
              </w:rPr>
              <w:t>Spend on Generic</w:t>
            </w:r>
          </w:p>
        </w:tc>
        <w:tc>
          <w:tcPr>
            <w:tcW w:w="587"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580 722</w:t>
            </w:r>
          </w:p>
        </w:tc>
        <w:tc>
          <w:tcPr>
            <w:tcW w:w="610"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162 191 644</w:t>
            </w:r>
          </w:p>
        </w:tc>
        <w:tc>
          <w:tcPr>
            <w:tcW w:w="630"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159 915 347</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0</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322 687 712</w:t>
            </w:r>
          </w:p>
        </w:tc>
        <w:tc>
          <w:tcPr>
            <w:tcW w:w="658"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322 687 712</w:t>
            </w:r>
          </w:p>
        </w:tc>
      </w:tr>
      <w:tr w:rsidR="005E06CA" w:rsidTr="00FF0D42">
        <w:trPr>
          <w:trHeight w:val="400"/>
        </w:trPr>
        <w:tc>
          <w:tcPr>
            <w:tcW w:w="204"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20"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610"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27%</w:t>
            </w:r>
          </w:p>
        </w:tc>
        <w:tc>
          <w:tcPr>
            <w:tcW w:w="630"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27%</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54%</w:t>
            </w:r>
          </w:p>
        </w:tc>
        <w:tc>
          <w:tcPr>
            <w:tcW w:w="658"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54%</w:t>
            </w:r>
          </w:p>
        </w:tc>
      </w:tr>
      <w:tr w:rsidR="005E06CA" w:rsidTr="00FF0D42">
        <w:trPr>
          <w:trHeight w:val="1015"/>
        </w:trPr>
        <w:tc>
          <w:tcPr>
            <w:tcW w:w="204"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20" w:type="pct"/>
            <w:tcBorders>
              <w:top w:val="nil"/>
              <w:left w:val="nil"/>
              <w:bottom w:val="single" w:sz="4" w:space="0" w:color="auto"/>
              <w:right w:val="single" w:sz="4" w:space="0" w:color="auto"/>
            </w:tcBorders>
            <w:shd w:val="clear" w:color="000000" w:fill="D9D9D9"/>
            <w:noWrap/>
            <w:vAlign w:val="center"/>
            <w:hideMark/>
          </w:tcPr>
          <w:p w:rsidR="005E06CA" w:rsidRDefault="005E06CA">
            <w:pPr>
              <w:rPr>
                <w:rFonts w:ascii="Arial" w:hAnsi="Arial" w:cs="Arial"/>
                <w:b/>
                <w:bCs/>
                <w:color w:val="000000"/>
                <w:sz w:val="20"/>
                <w:szCs w:val="20"/>
              </w:rPr>
            </w:pPr>
            <w:r>
              <w:rPr>
                <w:rFonts w:ascii="Arial" w:hAnsi="Arial" w:cs="Arial"/>
                <w:b/>
                <w:bCs/>
                <w:color w:val="000000"/>
                <w:sz w:val="20"/>
                <w:szCs w:val="20"/>
              </w:rPr>
              <w:t>Spend on EME and QSE</w:t>
            </w:r>
          </w:p>
        </w:tc>
        <w:tc>
          <w:tcPr>
            <w:tcW w:w="587"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8 650 323</w:t>
            </w:r>
          </w:p>
        </w:tc>
        <w:tc>
          <w:tcPr>
            <w:tcW w:w="610"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77 272 152</w:t>
            </w:r>
          </w:p>
        </w:tc>
        <w:tc>
          <w:tcPr>
            <w:tcW w:w="630"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186 253 710</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1 688 125</w:t>
            </w:r>
          </w:p>
        </w:tc>
        <w:tc>
          <w:tcPr>
            <w:tcW w:w="596"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273 849 010</w:t>
            </w:r>
          </w:p>
        </w:tc>
        <w:tc>
          <w:tcPr>
            <w:tcW w:w="658"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273 849 010</w:t>
            </w:r>
          </w:p>
        </w:tc>
      </w:tr>
      <w:tr w:rsidR="005E06CA" w:rsidTr="00FF0D42">
        <w:trPr>
          <w:trHeight w:val="5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5E06CA" w:rsidRDefault="005E06CA">
            <w:pPr>
              <w:rPr>
                <w:rFonts w:ascii="Arial" w:hAnsi="Arial" w:cs="Arial"/>
                <w:color w:val="000000"/>
                <w:sz w:val="20"/>
                <w:szCs w:val="20"/>
              </w:rPr>
            </w:pPr>
            <w:r>
              <w:rPr>
                <w:rFonts w:ascii="Arial" w:hAnsi="Arial" w:cs="Arial"/>
                <w:color w:val="000000"/>
                <w:sz w:val="20"/>
                <w:szCs w:val="20"/>
              </w:rPr>
              <w:t> </w:t>
            </w:r>
          </w:p>
        </w:tc>
        <w:tc>
          <w:tcPr>
            <w:tcW w:w="1120" w:type="pct"/>
            <w:tcBorders>
              <w:top w:val="nil"/>
              <w:left w:val="nil"/>
              <w:bottom w:val="single" w:sz="4" w:space="0" w:color="auto"/>
              <w:right w:val="single" w:sz="4" w:space="0" w:color="auto"/>
            </w:tcBorders>
            <w:shd w:val="clear" w:color="auto" w:fill="auto"/>
            <w:noWrap/>
            <w:vAlign w:val="center"/>
            <w:hideMark/>
          </w:tcPr>
          <w:p w:rsidR="005E06CA" w:rsidRDefault="005E06CA">
            <w:pPr>
              <w:rPr>
                <w:rFonts w:ascii="Arial" w:hAnsi="Arial" w:cs="Arial"/>
                <w:color w:val="000000"/>
                <w:sz w:val="20"/>
                <w:szCs w:val="20"/>
              </w:rPr>
            </w:pPr>
            <w:r>
              <w:rPr>
                <w:rFonts w:ascii="Arial" w:hAnsi="Arial" w:cs="Arial"/>
                <w:color w:val="000000"/>
                <w:sz w:val="20"/>
                <w:szCs w:val="20"/>
              </w:rPr>
              <w:t> </w:t>
            </w:r>
          </w:p>
        </w:tc>
        <w:tc>
          <w:tcPr>
            <w:tcW w:w="587"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w:t>
            </w:r>
          </w:p>
        </w:tc>
        <w:tc>
          <w:tcPr>
            <w:tcW w:w="610"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13%</w:t>
            </w:r>
          </w:p>
        </w:tc>
        <w:tc>
          <w:tcPr>
            <w:tcW w:w="630"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31%</w:t>
            </w:r>
          </w:p>
        </w:tc>
        <w:tc>
          <w:tcPr>
            <w:tcW w:w="596"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596"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29%</w:t>
            </w:r>
          </w:p>
        </w:tc>
        <w:tc>
          <w:tcPr>
            <w:tcW w:w="658"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29.07%</w:t>
            </w:r>
          </w:p>
        </w:tc>
      </w:tr>
      <w:tr w:rsidR="005E06CA" w:rsidTr="00FF0D42">
        <w:trPr>
          <w:trHeight w:val="295"/>
        </w:trPr>
        <w:tc>
          <w:tcPr>
            <w:tcW w:w="5000" w:type="pct"/>
            <w:gridSpan w:val="8"/>
            <w:tcBorders>
              <w:top w:val="single" w:sz="4" w:space="0" w:color="auto"/>
              <w:left w:val="nil"/>
              <w:bottom w:val="nil"/>
              <w:right w:val="nil"/>
            </w:tcBorders>
            <w:shd w:val="clear" w:color="auto" w:fill="auto"/>
            <w:noWrap/>
            <w:vAlign w:val="bottom"/>
            <w:hideMark/>
          </w:tcPr>
          <w:p w:rsidR="005E06CA" w:rsidRDefault="005E06CA">
            <w:pPr>
              <w:rPr>
                <w:rFonts w:ascii="Arial" w:hAnsi="Arial" w:cs="Arial"/>
                <w:color w:val="000000"/>
                <w:sz w:val="22"/>
                <w:szCs w:val="22"/>
              </w:rPr>
            </w:pPr>
            <w:r>
              <w:rPr>
                <w:rFonts w:ascii="Arial" w:hAnsi="Arial" w:cs="Arial"/>
                <w:color w:val="000000"/>
                <w:sz w:val="22"/>
                <w:szCs w:val="22"/>
              </w:rPr>
              <w:t>29.07% of the Corporation's total spend was towards SMME's</w:t>
            </w:r>
          </w:p>
        </w:tc>
      </w:tr>
    </w:tbl>
    <w:p w:rsidR="00995512" w:rsidRDefault="00995512" w:rsidP="00995512">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bb) </w:t>
      </w:r>
      <w:r w:rsidRPr="00995512">
        <w:rPr>
          <w:rFonts w:ascii="Arial" w:hAnsi="Arial" w:cs="Arial"/>
          <w:sz w:val="22"/>
          <w:szCs w:val="22"/>
        </w:rPr>
        <w:t xml:space="preserve">Below is a split of spend between suppliers that are Exempted Micro Enterprises (EME) and Qualifying Small Enterprises (QSE) for the </w:t>
      </w:r>
      <w:r>
        <w:rPr>
          <w:rFonts w:ascii="Arial" w:hAnsi="Arial" w:cs="Arial"/>
          <w:sz w:val="22"/>
          <w:szCs w:val="22"/>
        </w:rPr>
        <w:t>month ending 30 April 2023</w:t>
      </w:r>
      <w:r w:rsidR="002C6231">
        <w:rPr>
          <w:rFonts w:ascii="Arial" w:hAnsi="Arial" w:cs="Arial"/>
          <w:sz w:val="22"/>
          <w:szCs w:val="22"/>
        </w:rPr>
        <w:t xml:space="preserve"> indicating the designated groups.</w:t>
      </w:r>
    </w:p>
    <w:tbl>
      <w:tblPr>
        <w:tblW w:w="5000" w:type="pct"/>
        <w:tblLook w:val="04A0"/>
      </w:tblPr>
      <w:tblGrid>
        <w:gridCol w:w="1435"/>
        <w:gridCol w:w="2152"/>
        <w:gridCol w:w="1365"/>
        <w:gridCol w:w="1650"/>
        <w:gridCol w:w="1274"/>
        <w:gridCol w:w="1297"/>
      </w:tblGrid>
      <w:tr w:rsidR="005E06CA" w:rsidTr="00FF0D42">
        <w:trPr>
          <w:trHeight w:val="780"/>
        </w:trPr>
        <w:tc>
          <w:tcPr>
            <w:tcW w:w="1987" w:type="pct"/>
            <w:gridSpan w:val="2"/>
            <w:tcBorders>
              <w:top w:val="single" w:sz="4" w:space="0" w:color="auto"/>
              <w:left w:val="single" w:sz="4" w:space="0" w:color="auto"/>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 SPEND BREAKDOWN</w:t>
            </w:r>
          </w:p>
        </w:tc>
        <w:tc>
          <w:tcPr>
            <w:tcW w:w="760" w:type="pct"/>
            <w:tcBorders>
              <w:top w:val="single" w:sz="4" w:space="0" w:color="auto"/>
              <w:left w:val="nil"/>
              <w:bottom w:val="single" w:sz="4" w:space="0" w:color="auto"/>
              <w:right w:val="single" w:sz="4" w:space="0" w:color="auto"/>
            </w:tcBorders>
            <w:shd w:val="clear" w:color="000000" w:fill="B4C6E7"/>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HDI</w:t>
            </w:r>
          </w:p>
        </w:tc>
        <w:tc>
          <w:tcPr>
            <w:tcW w:w="820"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GOVERNMENT ENTITIES (Exempted)</w:t>
            </w:r>
          </w:p>
        </w:tc>
        <w:tc>
          <w:tcPr>
            <w:tcW w:w="710"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OTHER</w:t>
            </w:r>
          </w:p>
        </w:tc>
        <w:tc>
          <w:tcPr>
            <w:tcW w:w="724"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w:t>
            </w:r>
          </w:p>
        </w:tc>
      </w:tr>
      <w:tr w:rsidR="005E06CA" w:rsidTr="00FF0D42">
        <w:trPr>
          <w:trHeight w:val="400"/>
        </w:trPr>
        <w:tc>
          <w:tcPr>
            <w:tcW w:w="798" w:type="pct"/>
            <w:tcBorders>
              <w:top w:val="nil"/>
              <w:left w:val="single" w:sz="4" w:space="0" w:color="auto"/>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Apr-23</w:t>
            </w:r>
          </w:p>
        </w:tc>
        <w:tc>
          <w:tcPr>
            <w:tcW w:w="1188"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 CUMMULATIVE</w:t>
            </w:r>
          </w:p>
        </w:tc>
        <w:tc>
          <w:tcPr>
            <w:tcW w:w="760"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R4 927 000</w:t>
            </w:r>
          </w:p>
        </w:tc>
        <w:tc>
          <w:tcPr>
            <w:tcW w:w="820"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R9 106 081</w:t>
            </w:r>
          </w:p>
        </w:tc>
        <w:tc>
          <w:tcPr>
            <w:tcW w:w="710"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R1 323 915</w:t>
            </w:r>
          </w:p>
        </w:tc>
        <w:tc>
          <w:tcPr>
            <w:tcW w:w="724"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R15 356 996</w:t>
            </w:r>
          </w:p>
        </w:tc>
      </w:tr>
      <w:tr w:rsidR="005E06CA" w:rsidTr="00FF0D42">
        <w:trPr>
          <w:trHeight w:val="400"/>
        </w:trPr>
        <w:tc>
          <w:tcPr>
            <w:tcW w:w="798" w:type="pct"/>
            <w:tcBorders>
              <w:top w:val="nil"/>
              <w:left w:val="single" w:sz="4" w:space="0" w:color="auto"/>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 </w:t>
            </w:r>
          </w:p>
        </w:tc>
        <w:tc>
          <w:tcPr>
            <w:tcW w:w="1188"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 </w:t>
            </w:r>
          </w:p>
        </w:tc>
        <w:tc>
          <w:tcPr>
            <w:tcW w:w="760"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32%</w:t>
            </w:r>
          </w:p>
        </w:tc>
        <w:tc>
          <w:tcPr>
            <w:tcW w:w="820"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59%</w:t>
            </w:r>
          </w:p>
        </w:tc>
        <w:tc>
          <w:tcPr>
            <w:tcW w:w="710"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9%</w:t>
            </w:r>
          </w:p>
        </w:tc>
        <w:tc>
          <w:tcPr>
            <w:tcW w:w="724"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100%</w:t>
            </w:r>
          </w:p>
        </w:tc>
      </w:tr>
    </w:tbl>
    <w:p w:rsidR="005E06CA" w:rsidRDefault="005E06CA" w:rsidP="00995512">
      <w:pPr>
        <w:spacing w:before="100" w:beforeAutospacing="1" w:after="100" w:afterAutospacing="1" w:line="360" w:lineRule="auto"/>
        <w:jc w:val="both"/>
        <w:outlineLvl w:val="0"/>
        <w:rPr>
          <w:rFonts w:ascii="Arial" w:hAnsi="Arial" w:cs="Arial"/>
          <w:sz w:val="22"/>
          <w:szCs w:val="22"/>
        </w:rPr>
      </w:pPr>
    </w:p>
    <w:tbl>
      <w:tblPr>
        <w:tblW w:w="5000" w:type="pct"/>
        <w:tblLook w:val="04A0"/>
      </w:tblPr>
      <w:tblGrid>
        <w:gridCol w:w="1397"/>
        <w:gridCol w:w="2036"/>
        <w:gridCol w:w="1011"/>
        <w:gridCol w:w="1095"/>
        <w:gridCol w:w="1213"/>
        <w:gridCol w:w="1328"/>
        <w:gridCol w:w="1093"/>
      </w:tblGrid>
      <w:tr w:rsidR="005E06CA" w:rsidTr="00FF0D42">
        <w:trPr>
          <w:trHeight w:val="1150"/>
        </w:trPr>
        <w:tc>
          <w:tcPr>
            <w:tcW w:w="1908" w:type="pct"/>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HDI BREAKDOWN</w:t>
            </w:r>
          </w:p>
        </w:tc>
        <w:tc>
          <w:tcPr>
            <w:tcW w:w="569" w:type="pct"/>
            <w:tcBorders>
              <w:top w:val="single" w:sz="4" w:space="0" w:color="auto"/>
              <w:left w:val="nil"/>
              <w:bottom w:val="single" w:sz="4" w:space="0" w:color="auto"/>
              <w:right w:val="single" w:sz="4" w:space="0" w:color="auto"/>
            </w:tcBorders>
            <w:shd w:val="clear" w:color="000000" w:fill="B4C6E7"/>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YOUTH</w:t>
            </w:r>
          </w:p>
        </w:tc>
        <w:tc>
          <w:tcPr>
            <w:tcW w:w="615" w:type="pct"/>
            <w:tcBorders>
              <w:top w:val="single" w:sz="4" w:space="0" w:color="auto"/>
              <w:left w:val="nil"/>
              <w:bottom w:val="single" w:sz="4" w:space="0" w:color="auto"/>
              <w:right w:val="single" w:sz="4" w:space="0" w:color="auto"/>
            </w:tcBorders>
            <w:shd w:val="clear" w:color="000000" w:fill="B4C6E7"/>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WOMEN</w:t>
            </w:r>
          </w:p>
        </w:tc>
        <w:tc>
          <w:tcPr>
            <w:tcW w:w="679" w:type="pct"/>
            <w:tcBorders>
              <w:top w:val="single" w:sz="4" w:space="0" w:color="auto"/>
              <w:left w:val="nil"/>
              <w:bottom w:val="single" w:sz="4" w:space="0" w:color="auto"/>
              <w:right w:val="single" w:sz="4" w:space="0" w:color="auto"/>
            </w:tcBorders>
            <w:shd w:val="clear" w:color="000000" w:fill="B4C6E7"/>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OTHER BLACK OWNED ENTITIES</w:t>
            </w:r>
          </w:p>
        </w:tc>
        <w:tc>
          <w:tcPr>
            <w:tcW w:w="615" w:type="pct"/>
            <w:tcBorders>
              <w:top w:val="single" w:sz="4" w:space="0" w:color="auto"/>
              <w:left w:val="nil"/>
              <w:bottom w:val="single" w:sz="4" w:space="0" w:color="auto"/>
              <w:right w:val="single" w:sz="4" w:space="0" w:color="auto"/>
            </w:tcBorders>
            <w:shd w:val="clear" w:color="000000" w:fill="B4C6E7"/>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DISABILITY</w:t>
            </w:r>
          </w:p>
        </w:tc>
        <w:tc>
          <w:tcPr>
            <w:tcW w:w="615" w:type="pct"/>
            <w:tcBorders>
              <w:top w:val="single" w:sz="4" w:space="0" w:color="auto"/>
              <w:left w:val="nil"/>
              <w:bottom w:val="single" w:sz="4" w:space="0" w:color="auto"/>
              <w:right w:val="single" w:sz="4" w:space="0" w:color="auto"/>
            </w:tcBorders>
            <w:shd w:val="clear" w:color="000000" w:fill="B4C6E7"/>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w:t>
            </w:r>
          </w:p>
        </w:tc>
      </w:tr>
      <w:tr w:rsidR="005E06CA" w:rsidTr="00FF0D42">
        <w:trPr>
          <w:trHeight w:val="40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Mar-22</w:t>
            </w:r>
          </w:p>
        </w:tc>
        <w:tc>
          <w:tcPr>
            <w:tcW w:w="1128"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 CUMMULATIVE</w:t>
            </w:r>
          </w:p>
        </w:tc>
        <w:tc>
          <w:tcPr>
            <w:tcW w:w="569"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R494 678</w:t>
            </w:r>
          </w:p>
        </w:tc>
        <w:tc>
          <w:tcPr>
            <w:tcW w:w="615"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R2 590 681</w:t>
            </w:r>
          </w:p>
        </w:tc>
        <w:tc>
          <w:tcPr>
            <w:tcW w:w="679"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R1 841 641</w:t>
            </w:r>
          </w:p>
        </w:tc>
        <w:tc>
          <w:tcPr>
            <w:tcW w:w="615"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R0</w:t>
            </w:r>
          </w:p>
        </w:tc>
        <w:tc>
          <w:tcPr>
            <w:tcW w:w="615"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R4 927 000</w:t>
            </w:r>
          </w:p>
        </w:tc>
      </w:tr>
      <w:tr w:rsidR="005E06CA" w:rsidTr="00FF0D42">
        <w:trPr>
          <w:trHeight w:val="400"/>
        </w:trPr>
        <w:tc>
          <w:tcPr>
            <w:tcW w:w="780" w:type="pct"/>
            <w:tcBorders>
              <w:top w:val="nil"/>
              <w:left w:val="single" w:sz="4" w:space="0" w:color="auto"/>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 </w:t>
            </w:r>
          </w:p>
        </w:tc>
        <w:tc>
          <w:tcPr>
            <w:tcW w:w="1128"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10%</w:t>
            </w:r>
          </w:p>
        </w:tc>
        <w:tc>
          <w:tcPr>
            <w:tcW w:w="615"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53%</w:t>
            </w:r>
          </w:p>
        </w:tc>
        <w:tc>
          <w:tcPr>
            <w:tcW w:w="679"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37%</w:t>
            </w:r>
          </w:p>
        </w:tc>
        <w:tc>
          <w:tcPr>
            <w:tcW w:w="615"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615" w:type="pct"/>
            <w:tcBorders>
              <w:top w:val="nil"/>
              <w:left w:val="nil"/>
              <w:bottom w:val="single" w:sz="4" w:space="0" w:color="auto"/>
              <w:right w:val="single" w:sz="4" w:space="0" w:color="auto"/>
            </w:tcBorders>
            <w:shd w:val="clear" w:color="auto" w:fill="auto"/>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100%</w:t>
            </w:r>
          </w:p>
        </w:tc>
      </w:tr>
    </w:tbl>
    <w:p w:rsidR="005E06CA" w:rsidRDefault="005E06CA" w:rsidP="00995512">
      <w:pPr>
        <w:spacing w:before="100" w:beforeAutospacing="1" w:after="100" w:afterAutospacing="1" w:line="360" w:lineRule="auto"/>
        <w:jc w:val="both"/>
        <w:outlineLvl w:val="0"/>
        <w:rPr>
          <w:rFonts w:ascii="Arial" w:hAnsi="Arial" w:cs="Arial"/>
          <w:sz w:val="22"/>
          <w:szCs w:val="22"/>
        </w:rPr>
      </w:pPr>
    </w:p>
    <w:tbl>
      <w:tblPr>
        <w:tblW w:w="5000" w:type="pct"/>
        <w:tblLook w:val="04A0"/>
      </w:tblPr>
      <w:tblGrid>
        <w:gridCol w:w="443"/>
        <w:gridCol w:w="2363"/>
        <w:gridCol w:w="894"/>
        <w:gridCol w:w="1051"/>
        <w:gridCol w:w="1061"/>
        <w:gridCol w:w="1259"/>
        <w:gridCol w:w="1051"/>
        <w:gridCol w:w="1051"/>
      </w:tblGrid>
      <w:tr w:rsidR="005E06CA" w:rsidTr="00FF0D42">
        <w:trPr>
          <w:trHeight w:val="1040"/>
        </w:trPr>
        <w:tc>
          <w:tcPr>
            <w:tcW w:w="1376" w:type="pct"/>
            <w:gridSpan w:val="2"/>
            <w:tcBorders>
              <w:top w:val="single" w:sz="4" w:space="0" w:color="auto"/>
              <w:left w:val="single" w:sz="4" w:space="0" w:color="auto"/>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 SPEND BREAKDOWN OF HDI</w:t>
            </w:r>
          </w:p>
        </w:tc>
        <w:tc>
          <w:tcPr>
            <w:tcW w:w="547"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YOUTH</w:t>
            </w:r>
          </w:p>
        </w:tc>
        <w:tc>
          <w:tcPr>
            <w:tcW w:w="591"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WOMEN</w:t>
            </w:r>
          </w:p>
        </w:tc>
        <w:tc>
          <w:tcPr>
            <w:tcW w:w="652"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OTHER BLACK OWNED ENTITIES</w:t>
            </w:r>
          </w:p>
        </w:tc>
        <w:tc>
          <w:tcPr>
            <w:tcW w:w="591"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DISABILITY</w:t>
            </w:r>
          </w:p>
        </w:tc>
        <w:tc>
          <w:tcPr>
            <w:tcW w:w="591"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 xml:space="preserve">TOTAL HDI SPEND </w:t>
            </w:r>
          </w:p>
        </w:tc>
        <w:tc>
          <w:tcPr>
            <w:tcW w:w="652" w:type="pct"/>
            <w:tcBorders>
              <w:top w:val="single" w:sz="4" w:space="0" w:color="auto"/>
              <w:left w:val="nil"/>
              <w:bottom w:val="single" w:sz="4" w:space="0" w:color="auto"/>
              <w:right w:val="single" w:sz="4" w:space="0" w:color="auto"/>
            </w:tcBorders>
            <w:shd w:val="clear" w:color="000000" w:fill="AEAAAA"/>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TOTAL</w:t>
            </w:r>
          </w:p>
        </w:tc>
      </w:tr>
      <w:tr w:rsidR="005E06CA" w:rsidTr="00FF0D42">
        <w:trPr>
          <w:trHeight w:val="400"/>
        </w:trPr>
        <w:tc>
          <w:tcPr>
            <w:tcW w:w="203" w:type="pct"/>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SMME ANALYSIS</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color w:val="000000"/>
                <w:sz w:val="20"/>
                <w:szCs w:val="20"/>
              </w:rPr>
            </w:pPr>
            <w:r>
              <w:rPr>
                <w:rFonts w:ascii="Arial" w:hAnsi="Arial" w:cs="Arial"/>
                <w:color w:val="000000"/>
                <w:sz w:val="20"/>
                <w:szCs w:val="20"/>
              </w:rPr>
              <w:t>Spend on EME</w:t>
            </w:r>
          </w:p>
        </w:tc>
        <w:tc>
          <w:tcPr>
            <w:tcW w:w="547"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4 785</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1 124 878</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1 053 158</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2 182 821</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2 182 821</w:t>
            </w:r>
          </w:p>
        </w:tc>
      </w:tr>
      <w:tr w:rsidR="005E06CA" w:rsidTr="00FF0D42">
        <w:trPr>
          <w:trHeight w:val="400"/>
        </w:trPr>
        <w:tc>
          <w:tcPr>
            <w:tcW w:w="203"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73"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color w:val="000000"/>
                <w:sz w:val="20"/>
                <w:szCs w:val="20"/>
              </w:rPr>
            </w:pPr>
          </w:p>
        </w:tc>
        <w:tc>
          <w:tcPr>
            <w:tcW w:w="547"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23%</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21%</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14%</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44%</w:t>
            </w:r>
          </w:p>
        </w:tc>
      </w:tr>
      <w:tr w:rsidR="005E06CA" w:rsidTr="00FF0D42">
        <w:trPr>
          <w:trHeight w:val="400"/>
        </w:trPr>
        <w:tc>
          <w:tcPr>
            <w:tcW w:w="203"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color w:val="000000"/>
                <w:sz w:val="20"/>
                <w:szCs w:val="20"/>
              </w:rPr>
            </w:pPr>
            <w:r>
              <w:rPr>
                <w:rFonts w:ascii="Arial" w:hAnsi="Arial" w:cs="Arial"/>
                <w:color w:val="000000"/>
                <w:sz w:val="20"/>
                <w:szCs w:val="20"/>
              </w:rPr>
              <w:t>Spend on QSE</w:t>
            </w:r>
          </w:p>
        </w:tc>
        <w:tc>
          <w:tcPr>
            <w:tcW w:w="547"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11 600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888 048</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514 801</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1 414 449</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1 414 449</w:t>
            </w:r>
          </w:p>
        </w:tc>
      </w:tr>
      <w:tr w:rsidR="005E06CA" w:rsidTr="00FF0D42">
        <w:trPr>
          <w:trHeight w:val="400"/>
        </w:trPr>
        <w:tc>
          <w:tcPr>
            <w:tcW w:w="203"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73"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color w:val="000000"/>
                <w:sz w:val="20"/>
                <w:szCs w:val="20"/>
              </w:rPr>
            </w:pPr>
          </w:p>
        </w:tc>
        <w:tc>
          <w:tcPr>
            <w:tcW w:w="547"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18%</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9%</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29%</w:t>
            </w:r>
          </w:p>
        </w:tc>
      </w:tr>
      <w:tr w:rsidR="005E06CA" w:rsidTr="00FF0D42">
        <w:trPr>
          <w:trHeight w:val="400"/>
        </w:trPr>
        <w:tc>
          <w:tcPr>
            <w:tcW w:w="203"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color w:val="000000"/>
                <w:sz w:val="20"/>
                <w:szCs w:val="20"/>
              </w:rPr>
            </w:pPr>
            <w:r>
              <w:rPr>
                <w:rFonts w:ascii="Arial" w:hAnsi="Arial" w:cs="Arial"/>
                <w:color w:val="000000"/>
                <w:sz w:val="20"/>
                <w:szCs w:val="20"/>
              </w:rPr>
              <w:t>Spend on Generic</w:t>
            </w:r>
          </w:p>
        </w:tc>
        <w:tc>
          <w:tcPr>
            <w:tcW w:w="547"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478 293</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577 756</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273 682</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color w:val="000000"/>
                <w:sz w:val="20"/>
                <w:szCs w:val="20"/>
              </w:rPr>
            </w:pPr>
            <w:r>
              <w:rPr>
                <w:rFonts w:ascii="Arial" w:hAnsi="Arial" w:cs="Arial"/>
                <w:color w:val="000000"/>
                <w:sz w:val="20"/>
                <w:szCs w:val="20"/>
              </w:rPr>
              <w:t>1 329 731</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1 329 731</w:t>
            </w:r>
          </w:p>
        </w:tc>
      </w:tr>
      <w:tr w:rsidR="005E06CA" w:rsidTr="00FF0D42">
        <w:trPr>
          <w:trHeight w:val="400"/>
        </w:trPr>
        <w:tc>
          <w:tcPr>
            <w:tcW w:w="203"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73"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color w:val="000000"/>
                <w:sz w:val="20"/>
                <w:szCs w:val="20"/>
              </w:rPr>
            </w:pPr>
          </w:p>
        </w:tc>
        <w:tc>
          <w:tcPr>
            <w:tcW w:w="547"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12%</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6%</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27%</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27%</w:t>
            </w:r>
          </w:p>
        </w:tc>
      </w:tr>
      <w:tr w:rsidR="005E06CA" w:rsidTr="00FF0D42">
        <w:trPr>
          <w:trHeight w:val="935"/>
        </w:trPr>
        <w:tc>
          <w:tcPr>
            <w:tcW w:w="203" w:type="pct"/>
            <w:vMerge/>
            <w:tcBorders>
              <w:top w:val="nil"/>
              <w:left w:val="single" w:sz="4" w:space="0" w:color="auto"/>
              <w:bottom w:val="single" w:sz="4" w:space="0" w:color="auto"/>
              <w:right w:val="single" w:sz="4" w:space="0" w:color="auto"/>
            </w:tcBorders>
            <w:vAlign w:val="center"/>
            <w:hideMark/>
          </w:tcPr>
          <w:p w:rsidR="005E06CA" w:rsidRDefault="005E06CA">
            <w:pPr>
              <w:rPr>
                <w:rFonts w:ascii="Arial" w:hAnsi="Arial" w:cs="Arial"/>
                <w:b/>
                <w:bCs/>
                <w:color w:val="000000"/>
                <w:sz w:val="20"/>
                <w:szCs w:val="20"/>
              </w:rPr>
            </w:pPr>
          </w:p>
        </w:tc>
        <w:tc>
          <w:tcPr>
            <w:tcW w:w="1173" w:type="pct"/>
            <w:tcBorders>
              <w:top w:val="nil"/>
              <w:left w:val="nil"/>
              <w:bottom w:val="single" w:sz="4" w:space="0" w:color="auto"/>
              <w:right w:val="single" w:sz="4" w:space="0" w:color="auto"/>
            </w:tcBorders>
            <w:shd w:val="clear" w:color="000000" w:fill="D9D9D9"/>
            <w:noWrap/>
            <w:vAlign w:val="center"/>
            <w:hideMark/>
          </w:tcPr>
          <w:p w:rsidR="005E06CA" w:rsidRDefault="005E06CA">
            <w:pPr>
              <w:rPr>
                <w:rFonts w:ascii="Arial" w:hAnsi="Arial" w:cs="Arial"/>
                <w:b/>
                <w:bCs/>
                <w:color w:val="000000"/>
                <w:sz w:val="20"/>
                <w:szCs w:val="20"/>
              </w:rPr>
            </w:pPr>
            <w:r>
              <w:rPr>
                <w:rFonts w:ascii="Arial" w:hAnsi="Arial" w:cs="Arial"/>
                <w:b/>
                <w:bCs/>
                <w:color w:val="000000"/>
                <w:sz w:val="20"/>
                <w:szCs w:val="20"/>
              </w:rPr>
              <w:t>Spend on EME and QSE</w:t>
            </w:r>
          </w:p>
        </w:tc>
        <w:tc>
          <w:tcPr>
            <w:tcW w:w="547"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16 385</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2 012 925</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1 567 959</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0</w:t>
            </w:r>
          </w:p>
        </w:tc>
        <w:tc>
          <w:tcPr>
            <w:tcW w:w="591"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3 597 269</w:t>
            </w:r>
          </w:p>
        </w:tc>
        <w:tc>
          <w:tcPr>
            <w:tcW w:w="652" w:type="pct"/>
            <w:tcBorders>
              <w:top w:val="nil"/>
              <w:left w:val="nil"/>
              <w:bottom w:val="single" w:sz="4" w:space="0" w:color="auto"/>
              <w:right w:val="single" w:sz="4" w:space="0" w:color="auto"/>
            </w:tcBorders>
            <w:shd w:val="clear" w:color="auto" w:fill="auto"/>
            <w:noWrap/>
            <w:vAlign w:val="center"/>
            <w:hideMark/>
          </w:tcPr>
          <w:p w:rsidR="005E06CA" w:rsidRDefault="005E06CA">
            <w:pPr>
              <w:jc w:val="right"/>
              <w:rPr>
                <w:rFonts w:ascii="Arial" w:hAnsi="Arial" w:cs="Arial"/>
                <w:b/>
                <w:bCs/>
                <w:color w:val="000000"/>
                <w:sz w:val="20"/>
                <w:szCs w:val="20"/>
              </w:rPr>
            </w:pPr>
            <w:r>
              <w:rPr>
                <w:rFonts w:ascii="Arial" w:hAnsi="Arial" w:cs="Arial"/>
                <w:b/>
                <w:bCs/>
                <w:color w:val="000000"/>
                <w:sz w:val="20"/>
                <w:szCs w:val="20"/>
              </w:rPr>
              <w:t>3 597 269</w:t>
            </w:r>
          </w:p>
        </w:tc>
      </w:tr>
      <w:tr w:rsidR="005E06CA" w:rsidTr="00FF0D42">
        <w:trPr>
          <w:trHeight w:val="4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5E06CA" w:rsidRDefault="005E06CA">
            <w:pPr>
              <w:rPr>
                <w:rFonts w:ascii="Arial" w:hAnsi="Arial" w:cs="Arial"/>
                <w:color w:val="000000"/>
                <w:sz w:val="20"/>
                <w:szCs w:val="20"/>
              </w:rPr>
            </w:pPr>
            <w:r>
              <w:rPr>
                <w:rFonts w:ascii="Arial" w:hAnsi="Arial" w:cs="Arial"/>
                <w:color w:val="000000"/>
                <w:sz w:val="20"/>
                <w:szCs w:val="20"/>
              </w:rPr>
              <w:t> </w:t>
            </w:r>
          </w:p>
        </w:tc>
        <w:tc>
          <w:tcPr>
            <w:tcW w:w="1173" w:type="pct"/>
            <w:tcBorders>
              <w:top w:val="nil"/>
              <w:left w:val="nil"/>
              <w:bottom w:val="single" w:sz="4" w:space="0" w:color="auto"/>
              <w:right w:val="single" w:sz="4" w:space="0" w:color="auto"/>
            </w:tcBorders>
            <w:shd w:val="clear" w:color="auto" w:fill="auto"/>
            <w:noWrap/>
            <w:vAlign w:val="center"/>
            <w:hideMark/>
          </w:tcPr>
          <w:p w:rsidR="005E06CA" w:rsidRDefault="005E06CA">
            <w:pPr>
              <w:rPr>
                <w:rFonts w:ascii="Arial" w:hAnsi="Arial" w:cs="Arial"/>
                <w:color w:val="000000"/>
                <w:sz w:val="20"/>
                <w:szCs w:val="20"/>
              </w:rPr>
            </w:pPr>
            <w:r>
              <w:rPr>
                <w:rFonts w:ascii="Arial" w:hAnsi="Arial" w:cs="Arial"/>
                <w:color w:val="000000"/>
                <w:sz w:val="20"/>
                <w:szCs w:val="20"/>
              </w:rPr>
              <w:t> </w:t>
            </w:r>
          </w:p>
        </w:tc>
        <w:tc>
          <w:tcPr>
            <w:tcW w:w="547"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591"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41%</w:t>
            </w:r>
          </w:p>
        </w:tc>
        <w:tc>
          <w:tcPr>
            <w:tcW w:w="652"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32%</w:t>
            </w:r>
          </w:p>
        </w:tc>
        <w:tc>
          <w:tcPr>
            <w:tcW w:w="591"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0%</w:t>
            </w:r>
          </w:p>
        </w:tc>
        <w:tc>
          <w:tcPr>
            <w:tcW w:w="591"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23%</w:t>
            </w:r>
          </w:p>
        </w:tc>
        <w:tc>
          <w:tcPr>
            <w:tcW w:w="652" w:type="pct"/>
            <w:tcBorders>
              <w:top w:val="nil"/>
              <w:left w:val="nil"/>
              <w:bottom w:val="single" w:sz="4" w:space="0" w:color="auto"/>
              <w:right w:val="single" w:sz="4" w:space="0" w:color="auto"/>
            </w:tcBorders>
            <w:shd w:val="clear" w:color="000000" w:fill="D9D9D9"/>
            <w:noWrap/>
            <w:vAlign w:val="center"/>
            <w:hideMark/>
          </w:tcPr>
          <w:p w:rsidR="005E06CA" w:rsidRDefault="005E06CA">
            <w:pPr>
              <w:jc w:val="center"/>
              <w:rPr>
                <w:rFonts w:ascii="Arial" w:hAnsi="Arial" w:cs="Arial"/>
                <w:b/>
                <w:bCs/>
                <w:color w:val="000000"/>
                <w:sz w:val="20"/>
                <w:szCs w:val="20"/>
              </w:rPr>
            </w:pPr>
            <w:r>
              <w:rPr>
                <w:rFonts w:ascii="Arial" w:hAnsi="Arial" w:cs="Arial"/>
                <w:b/>
                <w:bCs/>
                <w:color w:val="000000"/>
                <w:sz w:val="20"/>
                <w:szCs w:val="20"/>
              </w:rPr>
              <w:t>23.42%</w:t>
            </w:r>
          </w:p>
        </w:tc>
      </w:tr>
    </w:tbl>
    <w:p w:rsidR="00FF0D42" w:rsidRDefault="00FF0D42"/>
    <w:p w:rsidR="00FF0D42" w:rsidRDefault="00FF0D42" w:rsidP="00FF0D42">
      <w:pPr>
        <w:rPr>
          <w:rFonts w:ascii="Arial" w:hAnsi="Arial" w:cs="Arial"/>
          <w:color w:val="000000"/>
          <w:sz w:val="22"/>
          <w:szCs w:val="22"/>
        </w:rPr>
      </w:pPr>
      <w:r>
        <w:rPr>
          <w:rFonts w:ascii="Arial" w:hAnsi="Arial" w:cs="Arial"/>
          <w:color w:val="000000"/>
          <w:sz w:val="22"/>
          <w:szCs w:val="22"/>
        </w:rPr>
        <w:t>23.42% of the Corporation's total spend was towards SMME's</w:t>
      </w:r>
    </w:p>
    <w:p w:rsidR="00FF0D42" w:rsidRDefault="00FF0D42">
      <w:r>
        <w:br w:type="page"/>
      </w:r>
    </w:p>
    <w:tbl>
      <w:tblPr>
        <w:tblpPr w:leftFromText="180" w:rightFromText="180" w:horzAnchor="margin" w:tblpY="-1220"/>
        <w:tblW w:w="5000" w:type="pct"/>
        <w:tblLook w:val="04A0"/>
      </w:tblPr>
      <w:tblGrid>
        <w:gridCol w:w="8955"/>
        <w:gridCol w:w="218"/>
      </w:tblGrid>
      <w:tr w:rsidR="00FF0D42" w:rsidTr="004362BC">
        <w:trPr>
          <w:trHeight w:val="295"/>
        </w:trPr>
        <w:tc>
          <w:tcPr>
            <w:tcW w:w="4879" w:type="pct"/>
            <w:tcBorders>
              <w:left w:val="nil"/>
              <w:bottom w:val="nil"/>
              <w:right w:val="nil"/>
            </w:tcBorders>
            <w:shd w:val="clear" w:color="auto" w:fill="auto"/>
            <w:noWrap/>
            <w:vAlign w:val="bottom"/>
            <w:hideMark/>
          </w:tcPr>
          <w:p w:rsidR="00FF0D42" w:rsidRDefault="00FF0D42" w:rsidP="00FF0D42">
            <w:pPr>
              <w:rPr>
                <w:rFonts w:ascii="Arial" w:hAnsi="Arial" w:cs="Arial"/>
                <w:color w:val="000000"/>
                <w:sz w:val="22"/>
                <w:szCs w:val="22"/>
              </w:rPr>
            </w:pPr>
          </w:p>
          <w:p w:rsidR="00FF0D42" w:rsidRDefault="00FF0D42" w:rsidP="00FF0D42">
            <w:pPr>
              <w:rPr>
                <w:rFonts w:ascii="Arial" w:hAnsi="Arial" w:cs="Arial"/>
                <w:color w:val="000000"/>
                <w:sz w:val="22"/>
                <w:szCs w:val="22"/>
              </w:rPr>
            </w:pPr>
          </w:p>
          <w:p w:rsidR="00FF0D42" w:rsidRPr="00FF0D42" w:rsidRDefault="00FF0D42" w:rsidP="00FF0D42">
            <w:pPr>
              <w:rPr>
                <w:rFonts w:ascii="Arial" w:hAnsi="Arial" w:cs="Arial"/>
                <w:b/>
                <w:color w:val="000000"/>
                <w:sz w:val="22"/>
                <w:szCs w:val="22"/>
              </w:rPr>
            </w:pPr>
            <w:r w:rsidRPr="00FF0D42">
              <w:rPr>
                <w:rFonts w:ascii="Arial" w:hAnsi="Arial" w:cs="Arial"/>
                <w:b/>
                <w:color w:val="000000"/>
                <w:sz w:val="22"/>
                <w:szCs w:val="22"/>
              </w:rPr>
              <w:t>C</w:t>
            </w:r>
            <w:r w:rsidR="004362BC">
              <w:rPr>
                <w:rFonts w:ascii="Arial" w:hAnsi="Arial" w:cs="Arial"/>
                <w:b/>
                <w:color w:val="000000"/>
                <w:sz w:val="22"/>
                <w:szCs w:val="22"/>
              </w:rPr>
              <w:t>ross Border of Road Transport Agency (CBRTA)</w:t>
            </w:r>
          </w:p>
          <w:p w:rsidR="00FF0D42" w:rsidRPr="00402807" w:rsidRDefault="00FF0D42" w:rsidP="00FF0D42">
            <w:pPr>
              <w:pStyle w:val="ListParagraph"/>
              <w:numPr>
                <w:ilvl w:val="1"/>
                <w:numId w:val="22"/>
              </w:numPr>
              <w:spacing w:before="100" w:beforeAutospacing="1" w:after="100" w:afterAutospacing="1"/>
              <w:jc w:val="both"/>
              <w:outlineLvl w:val="0"/>
              <w:rPr>
                <w:rFonts w:ascii="Arial" w:hAnsi="Arial" w:cs="Arial"/>
              </w:rPr>
            </w:pPr>
            <w:r w:rsidRPr="00402807">
              <w:rPr>
                <w:rFonts w:ascii="Arial" w:hAnsi="Arial" w:cs="Arial"/>
              </w:rPr>
              <w:t xml:space="preserve">(b) The Cross-Border Road Transport Agency </w:t>
            </w:r>
            <w:r>
              <w:rPr>
                <w:rFonts w:ascii="Arial" w:hAnsi="Arial" w:cs="Arial"/>
              </w:rPr>
              <w:t xml:space="preserve">(C-BRTA) </w:t>
            </w:r>
            <w:r w:rsidRPr="00402807">
              <w:rPr>
                <w:rFonts w:ascii="Arial" w:hAnsi="Arial" w:cs="Arial"/>
              </w:rPr>
              <w:t xml:space="preserve">issued orders </w:t>
            </w:r>
            <w:r>
              <w:rPr>
                <w:rFonts w:ascii="Arial" w:hAnsi="Arial" w:cs="Arial"/>
              </w:rPr>
              <w:t>in</w:t>
            </w:r>
            <w:r w:rsidRPr="00402807">
              <w:rPr>
                <w:rFonts w:ascii="Arial" w:hAnsi="Arial" w:cs="Arial"/>
              </w:rPr>
              <w:t xml:space="preserve"> the amount of R32,741,722.57 for the </w:t>
            </w:r>
            <w:r>
              <w:rPr>
                <w:rFonts w:ascii="Arial" w:hAnsi="Arial" w:cs="Arial"/>
              </w:rPr>
              <w:t xml:space="preserve">(aa) </w:t>
            </w:r>
            <w:r w:rsidRPr="00402807">
              <w:rPr>
                <w:rFonts w:ascii="Arial" w:hAnsi="Arial" w:cs="Arial"/>
              </w:rPr>
              <w:t xml:space="preserve">2021-22 financial year and R7,796,923.01 for the period </w:t>
            </w:r>
            <w:r>
              <w:rPr>
                <w:rFonts w:ascii="Arial" w:hAnsi="Arial" w:cs="Arial"/>
              </w:rPr>
              <w:t xml:space="preserve">(bb) </w:t>
            </w:r>
            <w:r w:rsidRPr="00402807">
              <w:rPr>
                <w:rFonts w:ascii="Arial" w:hAnsi="Arial" w:cs="Arial"/>
              </w:rPr>
              <w:t>01 April 2023 to 12 May 2023.</w:t>
            </w:r>
          </w:p>
          <w:p w:rsidR="00FF0D42" w:rsidRDefault="00FF0D42" w:rsidP="00FF0D42">
            <w:pPr>
              <w:pStyle w:val="ListParagraph"/>
              <w:spacing w:before="100" w:beforeAutospacing="1" w:after="100" w:afterAutospacing="1"/>
              <w:ind w:left="540"/>
              <w:jc w:val="both"/>
              <w:outlineLvl w:val="0"/>
              <w:rPr>
                <w:rFonts w:ascii="Arial" w:hAnsi="Arial" w:cs="Arial"/>
              </w:rPr>
            </w:pPr>
          </w:p>
          <w:p w:rsidR="00FF0D42" w:rsidRDefault="00FF0D42" w:rsidP="00FF0D42">
            <w:pPr>
              <w:pStyle w:val="ListParagraph"/>
              <w:numPr>
                <w:ilvl w:val="0"/>
                <w:numId w:val="21"/>
              </w:numPr>
              <w:spacing w:before="100" w:beforeAutospacing="1" w:after="100" w:afterAutospacing="1"/>
              <w:jc w:val="both"/>
              <w:outlineLvl w:val="0"/>
              <w:rPr>
                <w:rFonts w:ascii="Arial" w:hAnsi="Arial" w:cs="Arial"/>
              </w:rPr>
            </w:pPr>
            <w:r>
              <w:rPr>
                <w:rFonts w:ascii="Arial" w:hAnsi="Arial" w:cs="Arial"/>
              </w:rPr>
              <w:t xml:space="preserve">Out of the total orders issued, an amount of R20,827,412,27 (64%) was issued to </w:t>
            </w:r>
            <w:r w:rsidRPr="00077CF0">
              <w:rPr>
                <w:rFonts w:ascii="Arial" w:hAnsi="Arial" w:cs="Arial"/>
              </w:rPr>
              <w:t>small-, medium- and micro-enterprises</w:t>
            </w:r>
            <w:r>
              <w:rPr>
                <w:rFonts w:ascii="Arial" w:hAnsi="Arial" w:cs="Arial"/>
              </w:rPr>
              <w:t xml:space="preserve"> for the 2021-22 financial year </w:t>
            </w:r>
            <w:r w:rsidRPr="00DD298A">
              <w:rPr>
                <w:rFonts w:ascii="Arial" w:hAnsi="Arial" w:cs="Arial"/>
              </w:rPr>
              <w:t>and R5,892 600.29</w:t>
            </w:r>
            <w:r>
              <w:rPr>
                <w:rFonts w:ascii="Arial" w:hAnsi="Arial" w:cs="Arial"/>
              </w:rPr>
              <w:t xml:space="preserve"> (75%) </w:t>
            </w:r>
            <w:r w:rsidRPr="00DD298A">
              <w:rPr>
                <w:rFonts w:ascii="Arial" w:hAnsi="Arial" w:cs="Arial"/>
              </w:rPr>
              <w:t xml:space="preserve"> for</w:t>
            </w:r>
            <w:r>
              <w:rPr>
                <w:rFonts w:ascii="Arial" w:hAnsi="Arial" w:cs="Arial"/>
              </w:rPr>
              <w:t xml:space="preserve"> the period 01 April 2023 to 12 May 2023</w:t>
            </w:r>
            <w:r w:rsidRPr="00077CF0">
              <w:rPr>
                <w:rFonts w:ascii="Arial" w:hAnsi="Arial" w:cs="Arial"/>
              </w:rPr>
              <w:t>,</w:t>
            </w:r>
          </w:p>
          <w:p w:rsidR="00FF0D42" w:rsidRDefault="00FF0D42" w:rsidP="00FF0D42">
            <w:pPr>
              <w:pStyle w:val="ListParagraph"/>
              <w:spacing w:before="100" w:beforeAutospacing="1" w:after="100" w:afterAutospacing="1"/>
              <w:ind w:left="1440"/>
              <w:jc w:val="both"/>
              <w:outlineLvl w:val="0"/>
              <w:rPr>
                <w:rFonts w:ascii="Arial" w:hAnsi="Arial" w:cs="Arial"/>
              </w:rPr>
            </w:pPr>
          </w:p>
          <w:p w:rsidR="00FF0D42" w:rsidRDefault="00FF0D42" w:rsidP="00FF0D42">
            <w:pPr>
              <w:pStyle w:val="ListParagraph"/>
              <w:numPr>
                <w:ilvl w:val="0"/>
                <w:numId w:val="21"/>
              </w:numPr>
              <w:spacing w:before="100" w:beforeAutospacing="1" w:after="100" w:afterAutospacing="1"/>
              <w:jc w:val="both"/>
              <w:outlineLvl w:val="0"/>
              <w:rPr>
                <w:rFonts w:ascii="Arial" w:hAnsi="Arial" w:cs="Arial"/>
              </w:rPr>
            </w:pPr>
            <w:r w:rsidRPr="00C9676A">
              <w:rPr>
                <w:rFonts w:ascii="Arial" w:hAnsi="Arial" w:cs="Arial"/>
              </w:rPr>
              <w:t>R29,380.00</w:t>
            </w:r>
            <w:r>
              <w:rPr>
                <w:rFonts w:ascii="Arial" w:hAnsi="Arial" w:cs="Arial"/>
              </w:rPr>
              <w:t xml:space="preserve"> (0.14%)</w:t>
            </w:r>
            <w:r w:rsidRPr="00C9676A">
              <w:rPr>
                <w:rFonts w:ascii="Arial" w:hAnsi="Arial" w:cs="Arial"/>
              </w:rPr>
              <w:t xml:space="preserve"> was issued to cooperatives for the 20</w:t>
            </w:r>
            <w:r>
              <w:rPr>
                <w:rFonts w:ascii="Arial" w:hAnsi="Arial" w:cs="Arial"/>
              </w:rPr>
              <w:t>2</w:t>
            </w:r>
            <w:r w:rsidRPr="00C9676A">
              <w:rPr>
                <w:rFonts w:ascii="Arial" w:hAnsi="Arial" w:cs="Arial"/>
              </w:rPr>
              <w:t>1-22 financial year and R</w:t>
            </w:r>
            <w:r>
              <w:rPr>
                <w:rFonts w:ascii="Arial" w:hAnsi="Arial" w:cs="Arial"/>
              </w:rPr>
              <w:t>0.00 (0%)</w:t>
            </w:r>
            <w:r w:rsidRPr="00C9676A">
              <w:rPr>
                <w:rFonts w:ascii="Arial" w:hAnsi="Arial" w:cs="Arial"/>
              </w:rPr>
              <w:t xml:space="preserve"> for the period 01 April 2023 to 12 May 2023</w:t>
            </w:r>
          </w:p>
          <w:p w:rsidR="00FF0D42" w:rsidRPr="00C9676A" w:rsidRDefault="00FF0D42" w:rsidP="00FF0D42">
            <w:pPr>
              <w:pStyle w:val="ListParagraph"/>
              <w:rPr>
                <w:rFonts w:ascii="Arial" w:hAnsi="Arial" w:cs="Arial"/>
              </w:rPr>
            </w:pPr>
          </w:p>
          <w:p w:rsidR="00FF0D42" w:rsidRDefault="00FF0D42" w:rsidP="00FF0D42">
            <w:pPr>
              <w:pStyle w:val="ListParagraph"/>
              <w:numPr>
                <w:ilvl w:val="0"/>
                <w:numId w:val="21"/>
              </w:numPr>
              <w:spacing w:before="100" w:beforeAutospacing="1" w:after="100" w:afterAutospacing="1"/>
              <w:jc w:val="both"/>
              <w:outlineLvl w:val="0"/>
              <w:rPr>
                <w:rFonts w:ascii="Arial" w:hAnsi="Arial" w:cs="Arial"/>
              </w:rPr>
            </w:pPr>
            <w:r>
              <w:rPr>
                <w:rFonts w:ascii="Arial" w:hAnsi="Arial" w:cs="Arial"/>
              </w:rPr>
              <w:t xml:space="preserve">R0.00 to </w:t>
            </w:r>
            <w:r w:rsidRPr="00C9676A">
              <w:rPr>
                <w:rFonts w:ascii="Arial" w:hAnsi="Arial" w:cs="Arial"/>
              </w:rPr>
              <w:t>township enterprises</w:t>
            </w:r>
            <w:r>
              <w:rPr>
                <w:rFonts w:ascii="Arial" w:hAnsi="Arial" w:cs="Arial"/>
              </w:rPr>
              <w:t xml:space="preserve"> for both periods</w:t>
            </w:r>
            <w:r w:rsidRPr="00C9676A">
              <w:rPr>
                <w:rFonts w:ascii="Arial" w:hAnsi="Arial" w:cs="Arial"/>
              </w:rPr>
              <w:t xml:space="preserve"> and</w:t>
            </w:r>
          </w:p>
          <w:p w:rsidR="00FF0D42" w:rsidRPr="00C9676A" w:rsidRDefault="00FF0D42" w:rsidP="00FF0D42">
            <w:pPr>
              <w:pStyle w:val="ListParagraph"/>
              <w:rPr>
                <w:rFonts w:ascii="Arial" w:hAnsi="Arial" w:cs="Arial"/>
              </w:rPr>
            </w:pPr>
          </w:p>
          <w:p w:rsidR="00FF0D42" w:rsidRDefault="00FF0D42" w:rsidP="00FF0D42">
            <w:pPr>
              <w:pStyle w:val="ListParagraph"/>
              <w:numPr>
                <w:ilvl w:val="0"/>
                <w:numId w:val="21"/>
              </w:numPr>
              <w:spacing w:before="100" w:beforeAutospacing="1" w:after="100" w:afterAutospacing="1"/>
              <w:jc w:val="both"/>
              <w:outlineLvl w:val="0"/>
              <w:rPr>
                <w:rFonts w:ascii="Arial" w:hAnsi="Arial" w:cs="Arial"/>
              </w:rPr>
            </w:pPr>
            <w:r>
              <w:rPr>
                <w:rFonts w:ascii="Arial" w:hAnsi="Arial" w:cs="Arial"/>
              </w:rPr>
              <w:t xml:space="preserve">R0.00 to </w:t>
            </w:r>
            <w:r w:rsidRPr="00C9676A">
              <w:rPr>
                <w:rFonts w:ascii="Arial" w:hAnsi="Arial" w:cs="Arial"/>
              </w:rPr>
              <w:t xml:space="preserve">rural enterprises </w:t>
            </w:r>
            <w:r>
              <w:rPr>
                <w:rFonts w:ascii="Arial" w:hAnsi="Arial" w:cs="Arial"/>
              </w:rPr>
              <w:t>for both periods.</w:t>
            </w:r>
          </w:p>
          <w:p w:rsidR="00FF0D42" w:rsidRPr="00C9676A" w:rsidRDefault="00FF0D42" w:rsidP="00FF0D42">
            <w:pPr>
              <w:pStyle w:val="ListParagraph"/>
              <w:rPr>
                <w:rFonts w:ascii="Arial" w:hAnsi="Arial" w:cs="Arial"/>
              </w:rPr>
            </w:pPr>
          </w:p>
          <w:p w:rsidR="00FF0D42" w:rsidRDefault="00FF0D42" w:rsidP="00FF0D42">
            <w:pPr>
              <w:spacing w:before="100" w:beforeAutospacing="1" w:after="100" w:afterAutospacing="1"/>
              <w:jc w:val="both"/>
              <w:outlineLvl w:val="0"/>
              <w:rPr>
                <w:rFonts w:ascii="Arial" w:hAnsi="Arial" w:cs="Arial"/>
              </w:rPr>
            </w:pPr>
            <w:r>
              <w:rPr>
                <w:rFonts w:ascii="Arial" w:hAnsi="Arial" w:cs="Arial"/>
              </w:rPr>
              <w:t>The breakdown per the categories above was based on information loaded in the National Treasury Central Supplier Database (CSD). The C-BRTA does not conduct independent verification of the information loaded on CSD.</w:t>
            </w:r>
          </w:p>
          <w:p w:rsidR="00FF0D42" w:rsidRDefault="00FF0D42" w:rsidP="00FF0D42">
            <w:pPr>
              <w:spacing w:before="100" w:beforeAutospacing="1" w:after="100" w:afterAutospacing="1"/>
              <w:jc w:val="both"/>
              <w:outlineLvl w:val="0"/>
              <w:rPr>
                <w:rFonts w:ascii="Arial" w:hAnsi="Arial" w:cs="Arial"/>
              </w:rPr>
            </w:pPr>
          </w:p>
          <w:p w:rsidR="00FF0D42" w:rsidRPr="00FF0D42" w:rsidRDefault="00FF0D42" w:rsidP="004362BC">
            <w:pPr>
              <w:spacing w:before="100" w:beforeAutospacing="1" w:after="100" w:afterAutospacing="1"/>
              <w:jc w:val="both"/>
              <w:outlineLvl w:val="0"/>
              <w:rPr>
                <w:rFonts w:ascii="Arial" w:hAnsi="Arial" w:cs="Arial"/>
                <w:b/>
              </w:rPr>
            </w:pPr>
            <w:r w:rsidRPr="00FF0D42">
              <w:rPr>
                <w:rFonts w:ascii="Arial" w:hAnsi="Arial" w:cs="Arial"/>
                <w:b/>
              </w:rPr>
              <w:t>R</w:t>
            </w:r>
            <w:r w:rsidR="004362BC">
              <w:rPr>
                <w:rFonts w:ascii="Arial" w:hAnsi="Arial" w:cs="Arial"/>
                <w:b/>
              </w:rPr>
              <w:t>oad Accident Fund (RAF)</w:t>
            </w:r>
          </w:p>
          <w:tbl>
            <w:tblPr>
              <w:tblW w:w="9521" w:type="dxa"/>
              <w:tblBorders>
                <w:top w:val="none" w:sz="6" w:space="0" w:color="auto"/>
                <w:left w:val="none" w:sz="6" w:space="0" w:color="auto"/>
                <w:bottom w:val="none" w:sz="6" w:space="0" w:color="auto"/>
                <w:right w:val="none" w:sz="6" w:space="0" w:color="auto"/>
              </w:tblBorders>
              <w:tblLook w:val="0000"/>
            </w:tblPr>
            <w:tblGrid>
              <w:gridCol w:w="2380"/>
              <w:gridCol w:w="2380"/>
              <w:gridCol w:w="2380"/>
              <w:gridCol w:w="2381"/>
            </w:tblGrid>
            <w:tr w:rsidR="00FF0D42" w:rsidRPr="003B41C3" w:rsidTr="00CF17BA">
              <w:trPr>
                <w:trHeight w:val="384"/>
              </w:trPr>
              <w:tc>
                <w:tcPr>
                  <w:tcW w:w="2380" w:type="dxa"/>
                  <w:tcBorders>
                    <w:top w:val="none" w:sz="6" w:space="0" w:color="auto"/>
                    <w:bottom w:val="none" w:sz="6" w:space="0" w:color="auto"/>
                    <w:right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b/>
                      <w:bCs/>
                    </w:rPr>
                    <w:t xml:space="preserve">Procurement </w:t>
                  </w:r>
                </w:p>
                <w:p w:rsidR="00FF0D42" w:rsidRPr="003B41C3" w:rsidRDefault="00FF0D42" w:rsidP="009378AF">
                  <w:pPr>
                    <w:pStyle w:val="Default"/>
                    <w:framePr w:hSpace="180" w:wrap="around" w:hAnchor="margin" w:y="-1220"/>
                    <w:rPr>
                      <w:rFonts w:ascii="Arial" w:hAnsi="Arial" w:cs="Arial"/>
                    </w:rPr>
                  </w:pPr>
                  <w:r w:rsidRPr="003B41C3">
                    <w:rPr>
                      <w:rFonts w:ascii="Arial" w:hAnsi="Arial" w:cs="Arial"/>
                      <w:b/>
                      <w:bCs/>
                    </w:rPr>
                    <w:t xml:space="preserve">allocation in terms of: </w:t>
                  </w:r>
                </w:p>
              </w:tc>
              <w:tc>
                <w:tcPr>
                  <w:tcW w:w="2380" w:type="dxa"/>
                  <w:tcBorders>
                    <w:top w:val="none" w:sz="6" w:space="0" w:color="auto"/>
                    <w:left w:val="none" w:sz="6" w:space="0" w:color="auto"/>
                    <w:bottom w:val="none" w:sz="6" w:space="0" w:color="auto"/>
                    <w:right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b/>
                      <w:bCs/>
                    </w:rPr>
                    <w:t xml:space="preserve">2021/22 </w:t>
                  </w:r>
                </w:p>
              </w:tc>
              <w:tc>
                <w:tcPr>
                  <w:tcW w:w="2380" w:type="dxa"/>
                  <w:tcBorders>
                    <w:top w:val="none" w:sz="6" w:space="0" w:color="auto"/>
                    <w:left w:val="none" w:sz="6" w:space="0" w:color="auto"/>
                    <w:bottom w:val="none" w:sz="6" w:space="0" w:color="auto"/>
                    <w:right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b/>
                      <w:bCs/>
                    </w:rPr>
                    <w:t xml:space="preserve">2022/23 </w:t>
                  </w:r>
                </w:p>
              </w:tc>
              <w:tc>
                <w:tcPr>
                  <w:tcW w:w="2381" w:type="dxa"/>
                  <w:tcBorders>
                    <w:top w:val="none" w:sz="6" w:space="0" w:color="auto"/>
                    <w:left w:val="none" w:sz="6" w:space="0" w:color="auto"/>
                    <w:bottom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b/>
                      <w:bCs/>
                    </w:rPr>
                    <w:t xml:space="preserve">01 April to 30 April </w:t>
                  </w:r>
                </w:p>
                <w:p w:rsidR="00FF0D42" w:rsidRPr="003B41C3" w:rsidRDefault="00FF0D42" w:rsidP="009378AF">
                  <w:pPr>
                    <w:pStyle w:val="Default"/>
                    <w:framePr w:hSpace="180" w:wrap="around" w:hAnchor="margin" w:y="-1220"/>
                    <w:rPr>
                      <w:rFonts w:ascii="Arial" w:hAnsi="Arial" w:cs="Arial"/>
                    </w:rPr>
                  </w:pPr>
                  <w:r w:rsidRPr="003B41C3">
                    <w:rPr>
                      <w:rFonts w:ascii="Arial" w:hAnsi="Arial" w:cs="Arial"/>
                      <w:b/>
                      <w:bCs/>
                    </w:rPr>
                    <w:t xml:space="preserve">23 </w:t>
                  </w:r>
                </w:p>
              </w:tc>
            </w:tr>
            <w:tr w:rsidR="00FF0D42" w:rsidRPr="003B41C3" w:rsidTr="00CF17BA">
              <w:trPr>
                <w:trHeight w:val="390"/>
              </w:trPr>
              <w:tc>
                <w:tcPr>
                  <w:tcW w:w="2380" w:type="dxa"/>
                  <w:tcBorders>
                    <w:top w:val="none" w:sz="6" w:space="0" w:color="auto"/>
                    <w:bottom w:val="none" w:sz="6" w:space="0" w:color="auto"/>
                    <w:right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w:t>
                  </w:r>
                  <w:proofErr w:type="spellStart"/>
                  <w:r w:rsidRPr="003B41C3">
                    <w:rPr>
                      <w:rFonts w:ascii="Arial" w:hAnsi="Arial" w:cs="Arial"/>
                    </w:rPr>
                    <w:t>i</w:t>
                  </w:r>
                  <w:proofErr w:type="spellEnd"/>
                  <w:r w:rsidRPr="003B41C3">
                    <w:rPr>
                      <w:rFonts w:ascii="Arial" w:hAnsi="Arial" w:cs="Arial"/>
                    </w:rPr>
                    <w:t xml:space="preserve">) SMMEs </w:t>
                  </w:r>
                </w:p>
              </w:tc>
              <w:tc>
                <w:tcPr>
                  <w:tcW w:w="2380" w:type="dxa"/>
                  <w:tcBorders>
                    <w:top w:val="none" w:sz="6" w:space="0" w:color="auto"/>
                    <w:left w:val="none" w:sz="6" w:space="0" w:color="auto"/>
                    <w:bottom w:val="none" w:sz="6" w:space="0" w:color="auto"/>
                    <w:right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 xml:space="preserve">R2 506 855 071.91 </w:t>
                  </w:r>
                </w:p>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 xml:space="preserve">which is 56% of procurement spend </w:t>
                  </w:r>
                </w:p>
              </w:tc>
              <w:tc>
                <w:tcPr>
                  <w:tcW w:w="2380" w:type="dxa"/>
                  <w:tcBorders>
                    <w:top w:val="none" w:sz="6" w:space="0" w:color="auto"/>
                    <w:left w:val="none" w:sz="6" w:space="0" w:color="auto"/>
                    <w:bottom w:val="none" w:sz="6" w:space="0" w:color="auto"/>
                    <w:right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 xml:space="preserve">R1 680 270 441.90 </w:t>
                  </w:r>
                </w:p>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 xml:space="preserve">which is 64% of procurement spend </w:t>
                  </w:r>
                </w:p>
              </w:tc>
              <w:tc>
                <w:tcPr>
                  <w:tcW w:w="2381" w:type="dxa"/>
                  <w:tcBorders>
                    <w:top w:val="none" w:sz="6" w:space="0" w:color="auto"/>
                    <w:left w:val="none" w:sz="6" w:space="0" w:color="auto"/>
                    <w:bottom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 xml:space="preserve">R40 400 634.66 </w:t>
                  </w:r>
                </w:p>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 xml:space="preserve">which is 56% of procurement spend </w:t>
                  </w:r>
                </w:p>
                <w:p w:rsidR="00FF0D42" w:rsidRPr="003B41C3" w:rsidRDefault="00FF0D42" w:rsidP="009378AF">
                  <w:pPr>
                    <w:pStyle w:val="Default"/>
                    <w:framePr w:hSpace="180" w:wrap="around" w:hAnchor="margin" w:y="-1220"/>
                    <w:rPr>
                      <w:rFonts w:ascii="Arial" w:hAnsi="Arial" w:cs="Arial"/>
                    </w:rPr>
                  </w:pPr>
                </w:p>
              </w:tc>
            </w:tr>
            <w:tr w:rsidR="00FF0D42" w:rsidRPr="003B41C3" w:rsidTr="00CF17BA">
              <w:trPr>
                <w:trHeight w:val="254"/>
              </w:trPr>
              <w:tc>
                <w:tcPr>
                  <w:tcW w:w="4760" w:type="dxa"/>
                  <w:gridSpan w:val="2"/>
                  <w:tcBorders>
                    <w:top w:val="none" w:sz="6" w:space="0" w:color="auto"/>
                    <w:bottom w:val="none" w:sz="6" w:space="0" w:color="auto"/>
                    <w:right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 xml:space="preserve">(ii) Cooperatives </w:t>
                  </w:r>
                </w:p>
              </w:tc>
              <w:tc>
                <w:tcPr>
                  <w:tcW w:w="4761" w:type="dxa"/>
                  <w:gridSpan w:val="2"/>
                  <w:vMerge w:val="restart"/>
                  <w:tcBorders>
                    <w:top w:val="none" w:sz="6" w:space="0" w:color="auto"/>
                    <w:left w:val="none" w:sz="6" w:space="0" w:color="auto"/>
                  </w:tcBorders>
                </w:tcPr>
                <w:p w:rsidR="00FF0D42" w:rsidRPr="003B41C3" w:rsidRDefault="00FF0D42" w:rsidP="009378AF">
                  <w:pPr>
                    <w:pStyle w:val="Default"/>
                    <w:framePr w:hSpace="180" w:wrap="around" w:hAnchor="margin" w:y="-1220"/>
                    <w:rPr>
                      <w:rFonts w:ascii="Arial" w:hAnsi="Arial" w:cs="Arial"/>
                      <w:b/>
                      <w:bCs/>
                    </w:rPr>
                  </w:pPr>
                </w:p>
                <w:p w:rsidR="00FF0D42" w:rsidRPr="003B41C3" w:rsidRDefault="00FF0D42" w:rsidP="009378AF">
                  <w:pPr>
                    <w:pStyle w:val="Default"/>
                    <w:framePr w:hSpace="180" w:wrap="around" w:hAnchor="margin" w:y="-1220"/>
                    <w:rPr>
                      <w:rFonts w:ascii="Arial" w:hAnsi="Arial" w:cs="Arial"/>
                    </w:rPr>
                  </w:pPr>
                  <w:r w:rsidRPr="003B41C3">
                    <w:rPr>
                      <w:rFonts w:ascii="Arial" w:hAnsi="Arial" w:cs="Arial"/>
                      <w:b/>
                      <w:bCs/>
                    </w:rPr>
                    <w:t xml:space="preserve">Refer to note 1 </w:t>
                  </w:r>
                </w:p>
              </w:tc>
            </w:tr>
            <w:tr w:rsidR="00FF0D42" w:rsidRPr="003B41C3" w:rsidTr="00CF17BA">
              <w:trPr>
                <w:trHeight w:val="254"/>
              </w:trPr>
              <w:tc>
                <w:tcPr>
                  <w:tcW w:w="4760" w:type="dxa"/>
                  <w:gridSpan w:val="2"/>
                  <w:tcBorders>
                    <w:top w:val="none" w:sz="6" w:space="0" w:color="auto"/>
                    <w:bottom w:val="none" w:sz="6" w:space="0" w:color="auto"/>
                    <w:right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 xml:space="preserve">(iii) Township </w:t>
                  </w:r>
                </w:p>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Enterprises</w:t>
                  </w:r>
                </w:p>
              </w:tc>
              <w:tc>
                <w:tcPr>
                  <w:tcW w:w="4761" w:type="dxa"/>
                  <w:gridSpan w:val="2"/>
                  <w:vMerge/>
                  <w:tcBorders>
                    <w:left w:val="none" w:sz="6" w:space="0" w:color="auto"/>
                  </w:tcBorders>
                </w:tcPr>
                <w:p w:rsidR="00FF0D42" w:rsidRPr="003B41C3" w:rsidRDefault="00FF0D42" w:rsidP="009378AF">
                  <w:pPr>
                    <w:pStyle w:val="Default"/>
                    <w:framePr w:hSpace="180" w:wrap="around" w:hAnchor="margin" w:y="-1220"/>
                    <w:rPr>
                      <w:rFonts w:ascii="Arial" w:hAnsi="Arial" w:cs="Arial"/>
                      <w:b/>
                      <w:bCs/>
                      <w:sz w:val="23"/>
                      <w:szCs w:val="23"/>
                    </w:rPr>
                  </w:pPr>
                </w:p>
              </w:tc>
            </w:tr>
            <w:tr w:rsidR="00FF0D42" w:rsidRPr="003B41C3" w:rsidTr="003B41C3">
              <w:trPr>
                <w:trHeight w:val="60"/>
              </w:trPr>
              <w:tc>
                <w:tcPr>
                  <w:tcW w:w="4760" w:type="dxa"/>
                  <w:gridSpan w:val="2"/>
                  <w:tcBorders>
                    <w:top w:val="none" w:sz="6" w:space="0" w:color="auto"/>
                    <w:bottom w:val="none" w:sz="6" w:space="0" w:color="auto"/>
                    <w:right w:val="none" w:sz="6" w:space="0" w:color="auto"/>
                  </w:tcBorders>
                </w:tcPr>
                <w:p w:rsidR="00FF0D42" w:rsidRPr="003B41C3" w:rsidRDefault="00FF0D42" w:rsidP="009378AF">
                  <w:pPr>
                    <w:pStyle w:val="Default"/>
                    <w:framePr w:hSpace="180" w:wrap="around" w:hAnchor="margin" w:y="-1220"/>
                    <w:rPr>
                      <w:rFonts w:ascii="Arial" w:hAnsi="Arial" w:cs="Arial"/>
                    </w:rPr>
                  </w:pPr>
                  <w:r w:rsidRPr="003B41C3">
                    <w:rPr>
                      <w:rFonts w:ascii="Arial" w:hAnsi="Arial" w:cs="Arial"/>
                    </w:rPr>
                    <w:t>(iv) Rural enterprises</w:t>
                  </w:r>
                </w:p>
              </w:tc>
              <w:tc>
                <w:tcPr>
                  <w:tcW w:w="4761" w:type="dxa"/>
                  <w:gridSpan w:val="2"/>
                  <w:vMerge/>
                  <w:tcBorders>
                    <w:left w:val="none" w:sz="6" w:space="0" w:color="auto"/>
                    <w:bottom w:val="none" w:sz="6" w:space="0" w:color="auto"/>
                  </w:tcBorders>
                </w:tcPr>
                <w:p w:rsidR="00FF0D42" w:rsidRPr="003B41C3" w:rsidRDefault="00FF0D42" w:rsidP="009378AF">
                  <w:pPr>
                    <w:pStyle w:val="Default"/>
                    <w:framePr w:hSpace="180" w:wrap="around" w:hAnchor="margin" w:y="-1220"/>
                    <w:rPr>
                      <w:rFonts w:ascii="Arial" w:hAnsi="Arial" w:cs="Arial"/>
                      <w:b/>
                      <w:bCs/>
                      <w:sz w:val="23"/>
                      <w:szCs w:val="23"/>
                    </w:rPr>
                  </w:pPr>
                </w:p>
              </w:tc>
            </w:tr>
          </w:tbl>
          <w:p w:rsidR="00FF0D42" w:rsidRPr="003B41C3" w:rsidRDefault="00FF0D42" w:rsidP="00FF0D42">
            <w:pPr>
              <w:spacing w:before="100" w:beforeAutospacing="1" w:after="100" w:afterAutospacing="1"/>
              <w:jc w:val="both"/>
              <w:outlineLvl w:val="0"/>
              <w:rPr>
                <w:rFonts w:ascii="Arial" w:hAnsi="Arial" w:cs="Arial"/>
              </w:rPr>
            </w:pPr>
            <w:r w:rsidRPr="003B41C3">
              <w:rPr>
                <w:rFonts w:ascii="Arial" w:hAnsi="Arial" w:cs="Arial"/>
              </w:rPr>
              <w:t>Note 1: The RAF is currently not able to report on procurement spend Cooperatives, Township and Rural Enterprises. Despite the challenge in reporting the RAF still ensures that a considerable share of our procurement spend is with B-BBEE Compliant Enterprises. The RAF is required to source the goods and services from service providers who registered with National Treasury Central Supplier Database (CSD). The CSD searches do not provide for searching of designated groups. RAF is in a process of formulating a transformation plan that includes targets of preferential procurement goals as specified above.</w:t>
            </w:r>
          </w:p>
          <w:p w:rsidR="00FF0D42" w:rsidRDefault="00FF0D42" w:rsidP="00FF0D42">
            <w:pPr>
              <w:spacing w:before="100" w:beforeAutospacing="1" w:after="100" w:afterAutospacing="1"/>
              <w:jc w:val="both"/>
              <w:outlineLvl w:val="0"/>
              <w:rPr>
                <w:rFonts w:ascii="Arial" w:hAnsi="Arial" w:cs="Arial"/>
              </w:rPr>
            </w:pPr>
          </w:p>
          <w:p w:rsidR="00FF0D42" w:rsidRDefault="00FF0D42" w:rsidP="00FF0D42">
            <w:pPr>
              <w:spacing w:before="100" w:beforeAutospacing="1" w:after="100" w:afterAutospacing="1"/>
              <w:jc w:val="both"/>
              <w:outlineLvl w:val="0"/>
              <w:rPr>
                <w:rFonts w:ascii="Arial" w:hAnsi="Arial" w:cs="Arial"/>
                <w:b/>
              </w:rPr>
            </w:pPr>
            <w:r w:rsidRPr="00FF0D42">
              <w:rPr>
                <w:rFonts w:ascii="Arial" w:hAnsi="Arial" w:cs="Arial"/>
                <w:b/>
              </w:rPr>
              <w:t>S</w:t>
            </w:r>
            <w:r w:rsidR="004362BC">
              <w:rPr>
                <w:rFonts w:ascii="Arial" w:hAnsi="Arial" w:cs="Arial"/>
                <w:b/>
              </w:rPr>
              <w:t>outh African National Roads Agency Limited (S</w:t>
            </w:r>
            <w:r w:rsidRPr="00FF0D42">
              <w:rPr>
                <w:rFonts w:ascii="Arial" w:hAnsi="Arial" w:cs="Arial"/>
                <w:b/>
              </w:rPr>
              <w:t>ANRAL</w:t>
            </w:r>
            <w:r w:rsidR="004362BC">
              <w:rPr>
                <w:rFonts w:ascii="Arial" w:hAnsi="Arial" w:cs="Arial"/>
                <w:b/>
              </w:rPr>
              <w:t>)</w:t>
            </w:r>
          </w:p>
          <w:p w:rsidR="006126D8" w:rsidRPr="004362BC" w:rsidRDefault="006126D8" w:rsidP="004362BC">
            <w:pPr>
              <w:spacing w:before="100" w:beforeAutospacing="1" w:after="100" w:afterAutospacing="1"/>
              <w:jc w:val="both"/>
              <w:outlineLvl w:val="0"/>
              <w:rPr>
                <w:rFonts w:ascii="Arial" w:hAnsi="Arial" w:cs="Arial"/>
                <w:bCs/>
              </w:rPr>
            </w:pPr>
            <w:r w:rsidRPr="004362BC">
              <w:rPr>
                <w:rFonts w:ascii="Arial" w:hAnsi="Arial" w:cs="Arial"/>
                <w:bCs/>
              </w:rPr>
              <w:t>SANRAL collates information in accordance with the Preferential Procurement Policy Framework Act (PPPFA), which defines the categories of Exempted Micro Enterprises (EME), Qualifying Micro Enterprises (QSE) and Generic/Large entities. Both EME and QSE’s are regarded as (</w:t>
            </w:r>
            <w:proofErr w:type="spellStart"/>
            <w:r w:rsidRPr="004362BC">
              <w:rPr>
                <w:rFonts w:ascii="Arial" w:hAnsi="Arial" w:cs="Arial"/>
                <w:bCs/>
              </w:rPr>
              <w:t>i</w:t>
            </w:r>
            <w:proofErr w:type="spellEnd"/>
            <w:r w:rsidRPr="004362BC">
              <w:rPr>
                <w:rFonts w:ascii="Arial" w:hAnsi="Arial" w:cs="Arial"/>
                <w:bCs/>
              </w:rPr>
              <w:t>) small-, medium- and micro enterprises (SMME). The table below reflects the awards for the (aa) 2021-22 and (bb) 2022/23 financial years.</w:t>
            </w:r>
          </w:p>
          <w:p w:rsidR="00FF0D42" w:rsidRDefault="00FF0D42" w:rsidP="00FF0D42">
            <w:pPr>
              <w:rPr>
                <w:rFonts w:ascii="Arial" w:hAnsi="Arial" w:cs="Arial"/>
                <w:color w:val="000000"/>
                <w:sz w:val="22"/>
                <w:szCs w:val="22"/>
              </w:rPr>
            </w:pPr>
          </w:p>
        </w:tc>
        <w:tc>
          <w:tcPr>
            <w:tcW w:w="121" w:type="pct"/>
            <w:tcBorders>
              <w:top w:val="single" w:sz="4" w:space="0" w:color="auto"/>
              <w:left w:val="nil"/>
              <w:bottom w:val="nil"/>
              <w:right w:val="nil"/>
            </w:tcBorders>
          </w:tcPr>
          <w:p w:rsidR="00FF0D42" w:rsidRDefault="00FF0D42" w:rsidP="00FF0D42">
            <w:pPr>
              <w:rPr>
                <w:rFonts w:ascii="Arial" w:hAnsi="Arial" w:cs="Arial"/>
                <w:color w:val="000000"/>
                <w:sz w:val="22"/>
                <w:szCs w:val="22"/>
              </w:rPr>
            </w:pPr>
          </w:p>
        </w:tc>
      </w:tr>
    </w:tbl>
    <w:p w:rsidR="00FF0D42" w:rsidRDefault="004362BC" w:rsidP="004362BC">
      <w:pPr>
        <w:spacing w:before="100" w:beforeAutospacing="1" w:after="100" w:afterAutospacing="1" w:line="360" w:lineRule="auto"/>
        <w:jc w:val="both"/>
        <w:outlineLvl w:val="0"/>
        <w:rPr>
          <w:noProof/>
        </w:rPr>
      </w:pPr>
      <w:r w:rsidRPr="00744275">
        <w:rPr>
          <w:noProof/>
        </w:rPr>
        <w:drawing>
          <wp:inline distT="0" distB="0" distL="0" distR="0">
            <wp:extent cx="568325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83250" cy="2514600"/>
                    </a:xfrm>
                    <a:prstGeom prst="rect">
                      <a:avLst/>
                    </a:prstGeom>
                    <a:noFill/>
                    <a:ln>
                      <a:noFill/>
                    </a:ln>
                  </pic:spPr>
                </pic:pic>
              </a:graphicData>
            </a:graphic>
          </wp:inline>
        </w:drawing>
      </w:r>
    </w:p>
    <w:p w:rsidR="00053DB7" w:rsidRPr="00053DB7" w:rsidRDefault="00053DB7" w:rsidP="00053DB7">
      <w:pPr>
        <w:tabs>
          <w:tab w:val="left" w:pos="1134"/>
        </w:tabs>
        <w:spacing w:before="100" w:beforeAutospacing="1" w:after="100" w:afterAutospacing="1"/>
        <w:jc w:val="both"/>
        <w:outlineLvl w:val="0"/>
        <w:rPr>
          <w:rFonts w:ascii="Arial" w:eastAsia="Arial" w:hAnsi="Arial" w:cs="Arial"/>
          <w:b/>
          <w:bCs/>
        </w:rPr>
      </w:pPr>
      <w:r w:rsidRPr="00053DB7">
        <w:rPr>
          <w:rFonts w:ascii="Arial" w:eastAsia="Arial" w:hAnsi="Arial" w:cs="Arial"/>
          <w:b/>
          <w:bCs/>
        </w:rPr>
        <w:t>Railway Safety Regulator (RSR)</w:t>
      </w:r>
    </w:p>
    <w:p w:rsidR="00053DB7" w:rsidRPr="00053DB7" w:rsidRDefault="00053DB7" w:rsidP="00053DB7">
      <w:pPr>
        <w:tabs>
          <w:tab w:val="left" w:pos="1134"/>
        </w:tabs>
        <w:spacing w:before="100" w:beforeAutospacing="1" w:after="100" w:afterAutospacing="1"/>
        <w:jc w:val="both"/>
        <w:outlineLvl w:val="0"/>
        <w:rPr>
          <w:rFonts w:ascii="Arial" w:eastAsia="Arial" w:hAnsi="Arial" w:cs="Arial"/>
        </w:rPr>
      </w:pPr>
      <w:r w:rsidRPr="00053DB7">
        <w:rPr>
          <w:rFonts w:ascii="Arial" w:eastAsia="Arial" w:hAnsi="Arial" w:cs="Arial"/>
        </w:rPr>
        <w:t>2021/2022 Financial year end total spend R62,975,134-80</w:t>
      </w:r>
    </w:p>
    <w:p w:rsidR="00053DB7" w:rsidRPr="00EA7F8D" w:rsidRDefault="00053DB7" w:rsidP="00053DB7">
      <w:pPr>
        <w:pStyle w:val="ListParagraph"/>
        <w:spacing w:before="100" w:beforeAutospacing="1" w:after="100" w:afterAutospacing="1"/>
        <w:ind w:left="540"/>
        <w:jc w:val="both"/>
        <w:outlineLvl w:val="0"/>
        <w:rPr>
          <w:rFonts w:ascii="Arial" w:eastAsia="Arial" w:hAnsi="Arial" w:cs="Arial"/>
        </w:rPr>
      </w:pPr>
    </w:p>
    <w:tbl>
      <w:tblPr>
        <w:tblStyle w:val="TableGrid"/>
        <w:tblW w:w="8407" w:type="dxa"/>
        <w:tblInd w:w="-5" w:type="dxa"/>
        <w:tblLook w:val="04A0"/>
      </w:tblPr>
      <w:tblGrid>
        <w:gridCol w:w="1298"/>
        <w:gridCol w:w="3443"/>
        <w:gridCol w:w="2049"/>
        <w:gridCol w:w="1617"/>
      </w:tblGrid>
      <w:tr w:rsidR="00053DB7" w:rsidRPr="00AF3EE6" w:rsidTr="00053DB7">
        <w:tc>
          <w:tcPr>
            <w:tcW w:w="1298" w:type="dxa"/>
          </w:tcPr>
          <w:p w:rsidR="00053DB7" w:rsidRPr="00AF3EE6" w:rsidRDefault="00053DB7" w:rsidP="00680103">
            <w:pPr>
              <w:pStyle w:val="ListParagraph"/>
              <w:spacing w:before="100" w:beforeAutospacing="1" w:after="100" w:afterAutospacing="1"/>
              <w:ind w:left="0"/>
              <w:jc w:val="both"/>
              <w:outlineLvl w:val="0"/>
              <w:rPr>
                <w:rFonts w:ascii="Arial" w:eastAsia="Arial" w:hAnsi="Arial" w:cs="Arial"/>
                <w:b/>
              </w:rPr>
            </w:pPr>
          </w:p>
        </w:tc>
        <w:tc>
          <w:tcPr>
            <w:tcW w:w="3443" w:type="dxa"/>
          </w:tcPr>
          <w:p w:rsidR="00053DB7" w:rsidRPr="00AF3EE6" w:rsidRDefault="00053DB7" w:rsidP="00680103">
            <w:pPr>
              <w:pStyle w:val="ListParagraph"/>
              <w:spacing w:before="100" w:beforeAutospacing="1" w:after="100" w:afterAutospacing="1"/>
              <w:ind w:left="0"/>
              <w:jc w:val="both"/>
              <w:outlineLvl w:val="0"/>
              <w:rPr>
                <w:rFonts w:ascii="Arial" w:eastAsia="Arial" w:hAnsi="Arial" w:cs="Arial"/>
                <w:b/>
              </w:rPr>
            </w:pPr>
            <w:bookmarkStart w:id="0" w:name="_Hlk135147739"/>
          </w:p>
        </w:tc>
        <w:tc>
          <w:tcPr>
            <w:tcW w:w="2049" w:type="dxa"/>
          </w:tcPr>
          <w:p w:rsidR="00053DB7" w:rsidRPr="00AF3EE6" w:rsidRDefault="00053DB7" w:rsidP="00680103">
            <w:pPr>
              <w:pStyle w:val="ListParagraph"/>
              <w:spacing w:before="100" w:beforeAutospacing="1" w:after="100" w:afterAutospacing="1"/>
              <w:ind w:left="0"/>
              <w:jc w:val="both"/>
              <w:outlineLvl w:val="0"/>
              <w:rPr>
                <w:rFonts w:ascii="Arial" w:eastAsia="Arial" w:hAnsi="Arial" w:cs="Arial"/>
                <w:b/>
              </w:rPr>
            </w:pPr>
            <w:r w:rsidRPr="00AF3EE6">
              <w:rPr>
                <w:rFonts w:ascii="Arial" w:eastAsia="Arial" w:hAnsi="Arial" w:cs="Arial"/>
                <w:b/>
              </w:rPr>
              <w:t>Amount Spent</w:t>
            </w:r>
          </w:p>
        </w:tc>
        <w:tc>
          <w:tcPr>
            <w:tcW w:w="1617" w:type="dxa"/>
          </w:tcPr>
          <w:p w:rsidR="00053DB7" w:rsidRPr="00AF3EE6" w:rsidRDefault="00053DB7" w:rsidP="00680103">
            <w:pPr>
              <w:pStyle w:val="ListParagraph"/>
              <w:spacing w:before="100" w:beforeAutospacing="1" w:after="100" w:afterAutospacing="1"/>
              <w:ind w:left="0"/>
              <w:jc w:val="both"/>
              <w:outlineLvl w:val="0"/>
              <w:rPr>
                <w:rFonts w:ascii="Arial" w:eastAsia="Arial" w:hAnsi="Arial" w:cs="Arial"/>
                <w:b/>
              </w:rPr>
            </w:pPr>
            <w:r w:rsidRPr="00AF3EE6">
              <w:rPr>
                <w:rFonts w:ascii="Arial" w:eastAsia="Arial" w:hAnsi="Arial" w:cs="Arial"/>
                <w:b/>
              </w:rPr>
              <w:t>Percentage</w:t>
            </w:r>
          </w:p>
        </w:tc>
      </w:tr>
      <w:tr w:rsidR="00053DB7" w:rsidRPr="00EA7F8D" w:rsidTr="00053DB7">
        <w:tc>
          <w:tcPr>
            <w:tcW w:w="1298" w:type="dxa"/>
          </w:tcPr>
          <w:p w:rsidR="00053DB7" w:rsidRPr="00AF3EE6" w:rsidRDefault="00053DB7" w:rsidP="00680103">
            <w:pPr>
              <w:pStyle w:val="ListParagraph"/>
              <w:spacing w:before="100" w:beforeAutospacing="1" w:after="100" w:afterAutospacing="1"/>
              <w:ind w:left="0"/>
              <w:jc w:val="both"/>
              <w:outlineLvl w:val="0"/>
              <w:rPr>
                <w:rFonts w:ascii="Arial" w:eastAsia="Arial" w:hAnsi="Arial" w:cs="Arial"/>
                <w:b/>
              </w:rPr>
            </w:pPr>
            <w:r w:rsidRPr="00AF3EE6">
              <w:rPr>
                <w:rFonts w:ascii="Arial" w:eastAsia="Arial" w:hAnsi="Arial" w:cs="Arial"/>
                <w:b/>
              </w:rPr>
              <w:t>(</w:t>
            </w:r>
            <w:proofErr w:type="spellStart"/>
            <w:r w:rsidRPr="00AF3EE6">
              <w:rPr>
                <w:rFonts w:ascii="Arial" w:eastAsia="Arial" w:hAnsi="Arial" w:cs="Arial"/>
                <w:b/>
              </w:rPr>
              <w:t>i</w:t>
            </w:r>
            <w:proofErr w:type="spellEnd"/>
            <w:r w:rsidRPr="00AF3EE6">
              <w:rPr>
                <w:rFonts w:ascii="Arial" w:eastAsia="Arial" w:hAnsi="Arial" w:cs="Arial"/>
                <w:b/>
              </w:rPr>
              <w:t>)</w:t>
            </w:r>
          </w:p>
        </w:tc>
        <w:tc>
          <w:tcPr>
            <w:tcW w:w="3443" w:type="dxa"/>
          </w:tcPr>
          <w:p w:rsidR="00053DB7" w:rsidRPr="00EA7F8D" w:rsidRDefault="00053DB7" w:rsidP="00680103">
            <w:pPr>
              <w:pStyle w:val="ListParagraph"/>
              <w:spacing w:before="100" w:beforeAutospacing="1" w:after="100" w:afterAutospacing="1"/>
              <w:ind w:left="0"/>
              <w:jc w:val="both"/>
              <w:outlineLvl w:val="0"/>
              <w:rPr>
                <w:rFonts w:ascii="Arial" w:eastAsia="Arial" w:hAnsi="Arial" w:cs="Arial"/>
              </w:rPr>
            </w:pPr>
            <w:r w:rsidRPr="00EA7F8D">
              <w:rPr>
                <w:rFonts w:ascii="Arial" w:eastAsia="Arial" w:hAnsi="Arial" w:cs="Arial"/>
              </w:rPr>
              <w:t>EME&amp;QSE</w:t>
            </w:r>
          </w:p>
        </w:tc>
        <w:tc>
          <w:tcPr>
            <w:tcW w:w="2049" w:type="dxa"/>
          </w:tcPr>
          <w:p w:rsidR="00053DB7" w:rsidRPr="00EA7F8D" w:rsidRDefault="00053DB7" w:rsidP="00680103">
            <w:pPr>
              <w:pStyle w:val="ListParagraph"/>
              <w:spacing w:before="100" w:beforeAutospacing="1" w:after="100" w:afterAutospacing="1"/>
              <w:ind w:left="0"/>
              <w:jc w:val="right"/>
              <w:outlineLvl w:val="0"/>
              <w:rPr>
                <w:rFonts w:ascii="Arial" w:eastAsia="Arial" w:hAnsi="Arial" w:cs="Arial"/>
              </w:rPr>
            </w:pPr>
            <w:r w:rsidRPr="00EA7F8D">
              <w:rPr>
                <w:rFonts w:ascii="Arial" w:eastAsia="Arial" w:hAnsi="Arial" w:cs="Arial"/>
              </w:rPr>
              <w:t>R43</w:t>
            </w:r>
            <w:r>
              <w:rPr>
                <w:rFonts w:ascii="Arial" w:eastAsia="Arial" w:hAnsi="Arial" w:cs="Arial"/>
              </w:rPr>
              <w:t>,</w:t>
            </w:r>
            <w:r w:rsidRPr="00EA7F8D">
              <w:rPr>
                <w:rFonts w:ascii="Arial" w:eastAsia="Arial" w:hAnsi="Arial" w:cs="Arial"/>
              </w:rPr>
              <w:t>603</w:t>
            </w:r>
            <w:r>
              <w:rPr>
                <w:rFonts w:ascii="Arial" w:eastAsia="Arial" w:hAnsi="Arial" w:cs="Arial"/>
              </w:rPr>
              <w:t>,</w:t>
            </w:r>
            <w:r w:rsidRPr="00EA7F8D">
              <w:rPr>
                <w:rFonts w:ascii="Arial" w:eastAsia="Arial" w:hAnsi="Arial" w:cs="Arial"/>
              </w:rPr>
              <w:t>479</w:t>
            </w:r>
            <w:r>
              <w:rPr>
                <w:rFonts w:ascii="Arial" w:eastAsia="Arial" w:hAnsi="Arial" w:cs="Arial"/>
              </w:rPr>
              <w:t>-</w:t>
            </w:r>
            <w:r w:rsidRPr="00EA7F8D">
              <w:rPr>
                <w:rFonts w:ascii="Arial" w:eastAsia="Arial" w:hAnsi="Arial" w:cs="Arial"/>
              </w:rPr>
              <w:t>47</w:t>
            </w:r>
          </w:p>
        </w:tc>
        <w:tc>
          <w:tcPr>
            <w:tcW w:w="1617" w:type="dxa"/>
          </w:tcPr>
          <w:p w:rsidR="00053DB7" w:rsidRPr="00EA7F8D" w:rsidRDefault="00053DB7" w:rsidP="00680103">
            <w:pPr>
              <w:pStyle w:val="ListParagraph"/>
              <w:spacing w:before="100" w:beforeAutospacing="1" w:after="100" w:afterAutospacing="1"/>
              <w:ind w:left="0"/>
              <w:jc w:val="right"/>
              <w:outlineLvl w:val="0"/>
              <w:rPr>
                <w:rFonts w:ascii="Arial" w:eastAsia="Arial" w:hAnsi="Arial" w:cs="Arial"/>
              </w:rPr>
            </w:pPr>
            <w:r w:rsidRPr="00EA7F8D">
              <w:rPr>
                <w:rFonts w:ascii="Arial" w:eastAsia="Arial" w:hAnsi="Arial" w:cs="Arial"/>
              </w:rPr>
              <w:t>69.24%</w:t>
            </w:r>
          </w:p>
        </w:tc>
      </w:tr>
      <w:tr w:rsidR="00053DB7" w:rsidRPr="00EA7F8D" w:rsidTr="00053DB7">
        <w:tc>
          <w:tcPr>
            <w:tcW w:w="1298" w:type="dxa"/>
          </w:tcPr>
          <w:p w:rsidR="00053DB7" w:rsidRPr="00AF3EE6" w:rsidRDefault="00053DB7" w:rsidP="00680103">
            <w:pPr>
              <w:pStyle w:val="ListParagraph"/>
              <w:spacing w:before="100" w:beforeAutospacing="1" w:after="100" w:afterAutospacing="1"/>
              <w:ind w:left="0"/>
              <w:jc w:val="both"/>
              <w:outlineLvl w:val="0"/>
              <w:rPr>
                <w:rFonts w:ascii="Arial" w:eastAsia="Arial" w:hAnsi="Arial" w:cs="Arial"/>
                <w:b/>
              </w:rPr>
            </w:pPr>
            <w:r w:rsidRPr="00AF3EE6">
              <w:rPr>
                <w:rFonts w:ascii="Arial" w:eastAsia="Arial" w:hAnsi="Arial" w:cs="Arial"/>
                <w:b/>
              </w:rPr>
              <w:t>(ii)</w:t>
            </w:r>
          </w:p>
        </w:tc>
        <w:tc>
          <w:tcPr>
            <w:tcW w:w="3443" w:type="dxa"/>
          </w:tcPr>
          <w:p w:rsidR="00053DB7" w:rsidRPr="00EA7F8D" w:rsidRDefault="00053DB7" w:rsidP="00680103">
            <w:pPr>
              <w:pStyle w:val="ListParagraph"/>
              <w:spacing w:before="100" w:beforeAutospacing="1" w:after="100" w:afterAutospacing="1"/>
              <w:ind w:left="0"/>
              <w:jc w:val="both"/>
              <w:outlineLvl w:val="0"/>
              <w:rPr>
                <w:rFonts w:ascii="Arial" w:eastAsia="Arial" w:hAnsi="Arial" w:cs="Arial"/>
              </w:rPr>
            </w:pPr>
            <w:r w:rsidRPr="00EA7F8D">
              <w:rPr>
                <w:rFonts w:ascii="Arial" w:eastAsia="Arial" w:hAnsi="Arial" w:cs="Arial"/>
              </w:rPr>
              <w:t>Cooperatives</w:t>
            </w:r>
          </w:p>
        </w:tc>
        <w:tc>
          <w:tcPr>
            <w:tcW w:w="2049" w:type="dxa"/>
          </w:tcPr>
          <w:p w:rsidR="00053DB7" w:rsidRPr="00EA7F8D" w:rsidRDefault="00053DB7" w:rsidP="00680103">
            <w:pPr>
              <w:pStyle w:val="ListParagraph"/>
              <w:spacing w:before="100" w:beforeAutospacing="1" w:after="100" w:afterAutospacing="1"/>
              <w:ind w:left="0"/>
              <w:jc w:val="right"/>
              <w:outlineLvl w:val="0"/>
              <w:rPr>
                <w:rFonts w:ascii="Arial" w:eastAsia="Arial" w:hAnsi="Arial" w:cs="Arial"/>
              </w:rPr>
            </w:pPr>
            <w:r w:rsidRPr="00EA7F8D">
              <w:rPr>
                <w:rFonts w:ascii="Arial" w:eastAsia="Arial" w:hAnsi="Arial" w:cs="Arial"/>
              </w:rPr>
              <w:t>R16</w:t>
            </w:r>
            <w:r>
              <w:rPr>
                <w:rFonts w:ascii="Arial" w:eastAsia="Arial" w:hAnsi="Arial" w:cs="Arial"/>
              </w:rPr>
              <w:t>,</w:t>
            </w:r>
            <w:r w:rsidRPr="00EA7F8D">
              <w:rPr>
                <w:rFonts w:ascii="Arial" w:eastAsia="Arial" w:hAnsi="Arial" w:cs="Arial"/>
              </w:rPr>
              <w:t>636</w:t>
            </w:r>
            <w:r>
              <w:rPr>
                <w:rFonts w:ascii="Arial" w:eastAsia="Arial" w:hAnsi="Arial" w:cs="Arial"/>
              </w:rPr>
              <w:t>,</w:t>
            </w:r>
            <w:r w:rsidRPr="00EA7F8D">
              <w:rPr>
                <w:rFonts w:ascii="Arial" w:eastAsia="Arial" w:hAnsi="Arial" w:cs="Arial"/>
              </w:rPr>
              <w:t>045</w:t>
            </w:r>
            <w:r>
              <w:rPr>
                <w:rFonts w:ascii="Arial" w:eastAsia="Arial" w:hAnsi="Arial" w:cs="Arial"/>
              </w:rPr>
              <w:t>-</w:t>
            </w:r>
            <w:r w:rsidRPr="00EA7F8D">
              <w:rPr>
                <w:rFonts w:ascii="Arial" w:eastAsia="Arial" w:hAnsi="Arial" w:cs="Arial"/>
              </w:rPr>
              <w:t>64</w:t>
            </w:r>
          </w:p>
        </w:tc>
        <w:tc>
          <w:tcPr>
            <w:tcW w:w="1617" w:type="dxa"/>
          </w:tcPr>
          <w:p w:rsidR="00053DB7" w:rsidRPr="00EA7F8D" w:rsidRDefault="00053DB7" w:rsidP="00680103">
            <w:pPr>
              <w:pStyle w:val="ListParagraph"/>
              <w:spacing w:before="100" w:beforeAutospacing="1" w:after="100" w:afterAutospacing="1"/>
              <w:ind w:left="0"/>
              <w:jc w:val="right"/>
              <w:outlineLvl w:val="0"/>
              <w:rPr>
                <w:rFonts w:ascii="Arial" w:eastAsia="Arial" w:hAnsi="Arial" w:cs="Arial"/>
              </w:rPr>
            </w:pPr>
            <w:r w:rsidRPr="00EA7F8D">
              <w:rPr>
                <w:rFonts w:ascii="Arial" w:eastAsia="Arial" w:hAnsi="Arial" w:cs="Arial"/>
              </w:rPr>
              <w:t>26.42%</w:t>
            </w:r>
          </w:p>
        </w:tc>
      </w:tr>
      <w:tr w:rsidR="00053DB7" w:rsidRPr="00EA7F8D" w:rsidTr="00053DB7">
        <w:tc>
          <w:tcPr>
            <w:tcW w:w="1298" w:type="dxa"/>
          </w:tcPr>
          <w:p w:rsidR="00053DB7" w:rsidRPr="00AF3EE6" w:rsidRDefault="00053DB7" w:rsidP="00680103">
            <w:pPr>
              <w:pStyle w:val="ListParagraph"/>
              <w:spacing w:before="100" w:beforeAutospacing="1" w:after="100" w:afterAutospacing="1"/>
              <w:ind w:left="0"/>
              <w:jc w:val="both"/>
              <w:outlineLvl w:val="0"/>
              <w:rPr>
                <w:rFonts w:ascii="Arial" w:eastAsia="Arial" w:hAnsi="Arial" w:cs="Arial"/>
                <w:b/>
              </w:rPr>
            </w:pPr>
            <w:r w:rsidRPr="00AF3EE6">
              <w:rPr>
                <w:rFonts w:ascii="Arial" w:eastAsia="Arial" w:hAnsi="Arial" w:cs="Arial"/>
                <w:b/>
              </w:rPr>
              <w:t>(iii)</w:t>
            </w:r>
          </w:p>
        </w:tc>
        <w:tc>
          <w:tcPr>
            <w:tcW w:w="3443" w:type="dxa"/>
          </w:tcPr>
          <w:p w:rsidR="00053DB7" w:rsidRPr="00EA7F8D" w:rsidRDefault="00053DB7" w:rsidP="00680103">
            <w:pPr>
              <w:pStyle w:val="ListParagraph"/>
              <w:spacing w:before="100" w:beforeAutospacing="1" w:after="100" w:afterAutospacing="1"/>
              <w:ind w:left="0"/>
              <w:jc w:val="both"/>
              <w:outlineLvl w:val="0"/>
              <w:rPr>
                <w:rFonts w:ascii="Arial" w:eastAsia="Arial" w:hAnsi="Arial" w:cs="Arial"/>
                <w:bCs/>
              </w:rPr>
            </w:pPr>
            <w:r w:rsidRPr="00EA7F8D">
              <w:rPr>
                <w:rFonts w:ascii="Arial" w:hAnsi="Arial" w:cs="Arial"/>
                <w:bCs/>
              </w:rPr>
              <w:t>Township enterprises</w:t>
            </w:r>
          </w:p>
        </w:tc>
        <w:tc>
          <w:tcPr>
            <w:tcW w:w="2049" w:type="dxa"/>
          </w:tcPr>
          <w:p w:rsidR="00053DB7" w:rsidRPr="00EA7F8D" w:rsidRDefault="00053DB7" w:rsidP="00680103">
            <w:pPr>
              <w:pStyle w:val="ListParagraph"/>
              <w:spacing w:before="100" w:beforeAutospacing="1" w:after="100" w:afterAutospacing="1"/>
              <w:ind w:left="0"/>
              <w:jc w:val="right"/>
              <w:outlineLvl w:val="0"/>
              <w:rPr>
                <w:rFonts w:ascii="Arial" w:eastAsia="Arial" w:hAnsi="Arial" w:cs="Arial"/>
                <w:bCs/>
              </w:rPr>
            </w:pPr>
            <w:r w:rsidRPr="00EA7F8D">
              <w:rPr>
                <w:rFonts w:ascii="Arial" w:eastAsia="Arial" w:hAnsi="Arial" w:cs="Arial"/>
                <w:bCs/>
              </w:rPr>
              <w:t>0</w:t>
            </w:r>
          </w:p>
        </w:tc>
        <w:tc>
          <w:tcPr>
            <w:tcW w:w="1617" w:type="dxa"/>
          </w:tcPr>
          <w:p w:rsidR="00053DB7" w:rsidRPr="00EA7F8D" w:rsidRDefault="00053DB7" w:rsidP="00680103">
            <w:pPr>
              <w:pStyle w:val="ListParagraph"/>
              <w:spacing w:before="100" w:beforeAutospacing="1" w:after="100" w:afterAutospacing="1"/>
              <w:ind w:left="0"/>
              <w:jc w:val="right"/>
              <w:outlineLvl w:val="0"/>
              <w:rPr>
                <w:rFonts w:ascii="Arial" w:eastAsia="Arial" w:hAnsi="Arial" w:cs="Arial"/>
                <w:bCs/>
              </w:rPr>
            </w:pPr>
            <w:r w:rsidRPr="00EA7F8D">
              <w:rPr>
                <w:rFonts w:ascii="Arial" w:eastAsia="Arial" w:hAnsi="Arial" w:cs="Arial"/>
                <w:bCs/>
              </w:rPr>
              <w:t>0</w:t>
            </w:r>
          </w:p>
        </w:tc>
      </w:tr>
      <w:tr w:rsidR="00053DB7" w:rsidRPr="00EA7F8D" w:rsidTr="00053DB7">
        <w:tc>
          <w:tcPr>
            <w:tcW w:w="1298" w:type="dxa"/>
          </w:tcPr>
          <w:p w:rsidR="00053DB7" w:rsidRPr="00AF3EE6" w:rsidRDefault="00053DB7" w:rsidP="00680103">
            <w:pPr>
              <w:pStyle w:val="ListParagraph"/>
              <w:spacing w:before="100" w:beforeAutospacing="1" w:after="100" w:afterAutospacing="1"/>
              <w:ind w:left="0"/>
              <w:jc w:val="both"/>
              <w:outlineLvl w:val="0"/>
              <w:rPr>
                <w:rFonts w:ascii="Arial" w:eastAsia="Arial" w:hAnsi="Arial" w:cs="Arial"/>
                <w:b/>
              </w:rPr>
            </w:pPr>
            <w:r w:rsidRPr="00AF3EE6">
              <w:rPr>
                <w:rFonts w:ascii="Arial" w:eastAsia="Arial" w:hAnsi="Arial" w:cs="Arial"/>
                <w:b/>
              </w:rPr>
              <w:t>(iv)</w:t>
            </w:r>
          </w:p>
        </w:tc>
        <w:tc>
          <w:tcPr>
            <w:tcW w:w="3443" w:type="dxa"/>
          </w:tcPr>
          <w:p w:rsidR="00053DB7" w:rsidRPr="00EA7F8D" w:rsidRDefault="00053DB7" w:rsidP="00680103">
            <w:pPr>
              <w:pStyle w:val="ListParagraph"/>
              <w:spacing w:before="100" w:beforeAutospacing="1" w:after="100" w:afterAutospacing="1"/>
              <w:ind w:left="0"/>
              <w:jc w:val="both"/>
              <w:outlineLvl w:val="0"/>
              <w:rPr>
                <w:rFonts w:ascii="Arial" w:hAnsi="Arial" w:cs="Arial"/>
                <w:bCs/>
              </w:rPr>
            </w:pPr>
            <w:r w:rsidRPr="00EA7F8D">
              <w:rPr>
                <w:rFonts w:ascii="Arial" w:hAnsi="Arial" w:cs="Arial"/>
                <w:bCs/>
              </w:rPr>
              <w:t>Rural enterprises</w:t>
            </w:r>
          </w:p>
        </w:tc>
        <w:tc>
          <w:tcPr>
            <w:tcW w:w="2049" w:type="dxa"/>
          </w:tcPr>
          <w:p w:rsidR="00053DB7" w:rsidRPr="00EA7F8D" w:rsidRDefault="00053DB7" w:rsidP="00680103">
            <w:pPr>
              <w:pStyle w:val="ListParagraph"/>
              <w:spacing w:before="100" w:beforeAutospacing="1" w:after="100" w:afterAutospacing="1"/>
              <w:ind w:left="0"/>
              <w:jc w:val="right"/>
              <w:outlineLvl w:val="0"/>
              <w:rPr>
                <w:rFonts w:ascii="Arial" w:eastAsia="Arial" w:hAnsi="Arial" w:cs="Arial"/>
                <w:bCs/>
              </w:rPr>
            </w:pPr>
            <w:r w:rsidRPr="00EA7F8D">
              <w:rPr>
                <w:rFonts w:ascii="Arial" w:eastAsia="Arial" w:hAnsi="Arial" w:cs="Arial"/>
                <w:bCs/>
              </w:rPr>
              <w:t>0</w:t>
            </w:r>
          </w:p>
        </w:tc>
        <w:tc>
          <w:tcPr>
            <w:tcW w:w="1617" w:type="dxa"/>
          </w:tcPr>
          <w:p w:rsidR="00053DB7" w:rsidRPr="00EA7F8D" w:rsidRDefault="00053DB7" w:rsidP="00680103">
            <w:pPr>
              <w:pStyle w:val="ListParagraph"/>
              <w:spacing w:before="100" w:beforeAutospacing="1" w:after="100" w:afterAutospacing="1"/>
              <w:ind w:left="0"/>
              <w:jc w:val="right"/>
              <w:outlineLvl w:val="0"/>
              <w:rPr>
                <w:rFonts w:ascii="Arial" w:eastAsia="Arial" w:hAnsi="Arial" w:cs="Arial"/>
                <w:bCs/>
              </w:rPr>
            </w:pPr>
            <w:r w:rsidRPr="00EA7F8D">
              <w:rPr>
                <w:rFonts w:ascii="Arial" w:eastAsia="Arial" w:hAnsi="Arial" w:cs="Arial"/>
                <w:bCs/>
              </w:rPr>
              <w:t>0</w:t>
            </w:r>
          </w:p>
        </w:tc>
      </w:tr>
    </w:tbl>
    <w:bookmarkEnd w:id="0"/>
    <w:p w:rsidR="00053DB7" w:rsidRPr="00EA7F8D" w:rsidRDefault="00053DB7" w:rsidP="00053DB7">
      <w:pPr>
        <w:pStyle w:val="ListParagraph"/>
        <w:spacing w:before="100" w:beforeAutospacing="1" w:after="100" w:afterAutospacing="1"/>
        <w:ind w:left="540"/>
        <w:jc w:val="both"/>
        <w:outlineLvl w:val="0"/>
        <w:rPr>
          <w:rFonts w:ascii="Arial" w:eastAsia="Arial" w:hAnsi="Arial" w:cs="Arial"/>
        </w:rPr>
      </w:pPr>
      <w:r w:rsidRPr="00EA7F8D">
        <w:rPr>
          <w:rFonts w:ascii="Arial" w:eastAsia="Arial" w:hAnsi="Arial" w:cs="Arial"/>
        </w:rPr>
        <w:t>1 April 2023</w:t>
      </w:r>
      <w:r w:rsidRPr="00EA7F8D">
        <w:t xml:space="preserve"> </w:t>
      </w:r>
      <w:r w:rsidRPr="00EA7F8D">
        <w:rPr>
          <w:rFonts w:ascii="Arial" w:eastAsia="Arial" w:hAnsi="Arial" w:cs="Arial"/>
        </w:rPr>
        <w:t>total spend R 6 042 254.43</w:t>
      </w:r>
    </w:p>
    <w:tbl>
      <w:tblPr>
        <w:tblStyle w:val="TableGrid"/>
        <w:tblpPr w:leftFromText="180" w:rightFromText="180" w:vertAnchor="text" w:horzAnchor="margin" w:tblpY="84"/>
        <w:tblW w:w="8359" w:type="dxa"/>
        <w:tblInd w:w="0" w:type="dxa"/>
        <w:tblLook w:val="04A0"/>
      </w:tblPr>
      <w:tblGrid>
        <w:gridCol w:w="1030"/>
        <w:gridCol w:w="3654"/>
        <w:gridCol w:w="1951"/>
        <w:gridCol w:w="1724"/>
      </w:tblGrid>
      <w:tr w:rsidR="00053DB7" w:rsidRPr="00EA7F8D" w:rsidTr="00053DB7">
        <w:tc>
          <w:tcPr>
            <w:tcW w:w="1030"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rPr>
            </w:pPr>
          </w:p>
        </w:tc>
        <w:tc>
          <w:tcPr>
            <w:tcW w:w="3654"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rPr>
            </w:pPr>
          </w:p>
        </w:tc>
        <w:tc>
          <w:tcPr>
            <w:tcW w:w="1951"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rPr>
            </w:pPr>
            <w:r w:rsidRPr="00EA7F8D">
              <w:rPr>
                <w:rFonts w:ascii="Arial" w:eastAsia="Arial" w:hAnsi="Arial" w:cs="Arial"/>
              </w:rPr>
              <w:t>Amount Spent</w:t>
            </w:r>
          </w:p>
        </w:tc>
        <w:tc>
          <w:tcPr>
            <w:tcW w:w="1724"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rPr>
            </w:pPr>
            <w:r w:rsidRPr="00EA7F8D">
              <w:rPr>
                <w:rFonts w:ascii="Arial" w:eastAsia="Arial" w:hAnsi="Arial" w:cs="Arial"/>
              </w:rPr>
              <w:t>Percentage</w:t>
            </w:r>
          </w:p>
        </w:tc>
      </w:tr>
      <w:tr w:rsidR="00053DB7" w:rsidRPr="00EA7F8D" w:rsidTr="00053DB7">
        <w:tc>
          <w:tcPr>
            <w:tcW w:w="1030"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rPr>
            </w:pPr>
            <w:r w:rsidRPr="00EA7F8D">
              <w:rPr>
                <w:rFonts w:ascii="Arial" w:eastAsia="Arial" w:hAnsi="Arial" w:cs="Arial"/>
              </w:rPr>
              <w:t>(</w:t>
            </w:r>
            <w:proofErr w:type="spellStart"/>
            <w:r w:rsidRPr="00EA7F8D">
              <w:rPr>
                <w:rFonts w:ascii="Arial" w:eastAsia="Arial" w:hAnsi="Arial" w:cs="Arial"/>
              </w:rPr>
              <w:t>i</w:t>
            </w:r>
            <w:proofErr w:type="spellEnd"/>
            <w:r w:rsidRPr="00EA7F8D">
              <w:rPr>
                <w:rFonts w:ascii="Arial" w:eastAsia="Arial" w:hAnsi="Arial" w:cs="Arial"/>
              </w:rPr>
              <w:t>)</w:t>
            </w:r>
          </w:p>
        </w:tc>
        <w:tc>
          <w:tcPr>
            <w:tcW w:w="3654"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rPr>
            </w:pPr>
            <w:r w:rsidRPr="00EA7F8D">
              <w:rPr>
                <w:rFonts w:ascii="Arial" w:eastAsia="Arial" w:hAnsi="Arial" w:cs="Arial"/>
              </w:rPr>
              <w:t>EME&amp;QSE</w:t>
            </w:r>
          </w:p>
        </w:tc>
        <w:tc>
          <w:tcPr>
            <w:tcW w:w="1951" w:type="dxa"/>
          </w:tcPr>
          <w:p w:rsidR="00053DB7" w:rsidRPr="00EA7F8D" w:rsidRDefault="00053DB7" w:rsidP="00053DB7">
            <w:pPr>
              <w:pStyle w:val="ListParagraph"/>
              <w:spacing w:before="100" w:beforeAutospacing="1" w:after="100" w:afterAutospacing="1"/>
              <w:ind w:left="0"/>
              <w:jc w:val="right"/>
              <w:outlineLvl w:val="0"/>
              <w:rPr>
                <w:rFonts w:ascii="Arial" w:eastAsia="Arial" w:hAnsi="Arial" w:cs="Arial"/>
              </w:rPr>
            </w:pPr>
            <w:r w:rsidRPr="00EA7F8D">
              <w:rPr>
                <w:rFonts w:ascii="Arial" w:eastAsia="Arial" w:hAnsi="Arial" w:cs="Arial"/>
              </w:rPr>
              <w:t>R2</w:t>
            </w:r>
            <w:r>
              <w:rPr>
                <w:rFonts w:ascii="Arial" w:eastAsia="Arial" w:hAnsi="Arial" w:cs="Arial"/>
              </w:rPr>
              <w:t>,</w:t>
            </w:r>
            <w:r w:rsidRPr="00EA7F8D">
              <w:rPr>
                <w:rFonts w:ascii="Arial" w:eastAsia="Arial" w:hAnsi="Arial" w:cs="Arial"/>
              </w:rPr>
              <w:t>941</w:t>
            </w:r>
            <w:r>
              <w:rPr>
                <w:rFonts w:ascii="Arial" w:eastAsia="Arial" w:hAnsi="Arial" w:cs="Arial"/>
              </w:rPr>
              <w:t>,</w:t>
            </w:r>
            <w:r w:rsidRPr="00EA7F8D">
              <w:rPr>
                <w:rFonts w:ascii="Arial" w:eastAsia="Arial" w:hAnsi="Arial" w:cs="Arial"/>
              </w:rPr>
              <w:t>419</w:t>
            </w:r>
          </w:p>
        </w:tc>
        <w:tc>
          <w:tcPr>
            <w:tcW w:w="1724" w:type="dxa"/>
          </w:tcPr>
          <w:p w:rsidR="00053DB7" w:rsidRPr="00EA7F8D" w:rsidRDefault="00053DB7" w:rsidP="00053DB7">
            <w:pPr>
              <w:pStyle w:val="ListParagraph"/>
              <w:spacing w:before="100" w:beforeAutospacing="1" w:after="100" w:afterAutospacing="1"/>
              <w:ind w:left="0"/>
              <w:jc w:val="right"/>
              <w:outlineLvl w:val="0"/>
              <w:rPr>
                <w:rFonts w:ascii="Arial" w:eastAsia="Arial" w:hAnsi="Arial" w:cs="Arial"/>
              </w:rPr>
            </w:pPr>
            <w:r w:rsidRPr="00EA7F8D">
              <w:rPr>
                <w:rFonts w:ascii="Arial" w:eastAsia="Arial" w:hAnsi="Arial" w:cs="Arial"/>
              </w:rPr>
              <w:t>48.68%</w:t>
            </w:r>
          </w:p>
        </w:tc>
      </w:tr>
      <w:tr w:rsidR="00053DB7" w:rsidRPr="00EA7F8D" w:rsidTr="00053DB7">
        <w:tc>
          <w:tcPr>
            <w:tcW w:w="1030"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rPr>
            </w:pPr>
            <w:r w:rsidRPr="00EA7F8D">
              <w:rPr>
                <w:rFonts w:ascii="Arial" w:eastAsia="Arial" w:hAnsi="Arial" w:cs="Arial"/>
              </w:rPr>
              <w:t>(ii)</w:t>
            </w:r>
          </w:p>
        </w:tc>
        <w:tc>
          <w:tcPr>
            <w:tcW w:w="3654"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rPr>
            </w:pPr>
            <w:r w:rsidRPr="00EA7F8D">
              <w:rPr>
                <w:rFonts w:ascii="Arial" w:eastAsia="Arial" w:hAnsi="Arial" w:cs="Arial"/>
              </w:rPr>
              <w:t>Cooperatives</w:t>
            </w:r>
          </w:p>
        </w:tc>
        <w:tc>
          <w:tcPr>
            <w:tcW w:w="1951" w:type="dxa"/>
          </w:tcPr>
          <w:p w:rsidR="00053DB7" w:rsidRPr="00EA7F8D" w:rsidRDefault="00053DB7" w:rsidP="00053DB7">
            <w:pPr>
              <w:pStyle w:val="ListParagraph"/>
              <w:spacing w:before="100" w:beforeAutospacing="1" w:after="100" w:afterAutospacing="1"/>
              <w:ind w:left="0"/>
              <w:jc w:val="right"/>
              <w:outlineLvl w:val="0"/>
              <w:rPr>
                <w:rFonts w:ascii="Arial" w:eastAsia="Arial" w:hAnsi="Arial" w:cs="Arial"/>
              </w:rPr>
            </w:pPr>
            <w:r w:rsidRPr="00EA7F8D">
              <w:rPr>
                <w:rFonts w:ascii="Arial" w:eastAsia="Arial" w:hAnsi="Arial" w:cs="Arial"/>
              </w:rPr>
              <w:t>R2</w:t>
            </w:r>
            <w:r>
              <w:rPr>
                <w:rFonts w:ascii="Arial" w:eastAsia="Arial" w:hAnsi="Arial" w:cs="Arial"/>
              </w:rPr>
              <w:t>,</w:t>
            </w:r>
            <w:r w:rsidRPr="00EA7F8D">
              <w:rPr>
                <w:rFonts w:ascii="Arial" w:eastAsia="Arial" w:hAnsi="Arial" w:cs="Arial"/>
              </w:rPr>
              <w:t>877</w:t>
            </w:r>
            <w:r>
              <w:rPr>
                <w:rFonts w:ascii="Arial" w:eastAsia="Arial" w:hAnsi="Arial" w:cs="Arial"/>
              </w:rPr>
              <w:t>,</w:t>
            </w:r>
            <w:r w:rsidRPr="00EA7F8D">
              <w:rPr>
                <w:rFonts w:ascii="Arial" w:eastAsia="Arial" w:hAnsi="Arial" w:cs="Arial"/>
              </w:rPr>
              <w:t>035</w:t>
            </w:r>
          </w:p>
        </w:tc>
        <w:tc>
          <w:tcPr>
            <w:tcW w:w="1724" w:type="dxa"/>
          </w:tcPr>
          <w:p w:rsidR="00053DB7" w:rsidRPr="00EA7F8D" w:rsidRDefault="00053DB7" w:rsidP="00053DB7">
            <w:pPr>
              <w:pStyle w:val="ListParagraph"/>
              <w:spacing w:before="100" w:beforeAutospacing="1" w:after="100" w:afterAutospacing="1"/>
              <w:ind w:left="0"/>
              <w:jc w:val="right"/>
              <w:outlineLvl w:val="0"/>
              <w:rPr>
                <w:rFonts w:ascii="Arial" w:eastAsia="Arial" w:hAnsi="Arial" w:cs="Arial"/>
              </w:rPr>
            </w:pPr>
            <w:r w:rsidRPr="00EA7F8D">
              <w:rPr>
                <w:rFonts w:ascii="Arial" w:eastAsia="Arial" w:hAnsi="Arial" w:cs="Arial"/>
              </w:rPr>
              <w:t>47.62%</w:t>
            </w:r>
          </w:p>
        </w:tc>
      </w:tr>
      <w:tr w:rsidR="00053DB7" w:rsidRPr="00EA7F8D" w:rsidTr="00053DB7">
        <w:tc>
          <w:tcPr>
            <w:tcW w:w="1030"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rPr>
            </w:pPr>
            <w:r w:rsidRPr="00EA7F8D">
              <w:rPr>
                <w:rFonts w:ascii="Arial" w:eastAsia="Arial" w:hAnsi="Arial" w:cs="Arial"/>
              </w:rPr>
              <w:t>(iii)</w:t>
            </w:r>
          </w:p>
        </w:tc>
        <w:tc>
          <w:tcPr>
            <w:tcW w:w="3654"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bCs/>
              </w:rPr>
            </w:pPr>
            <w:r w:rsidRPr="00EA7F8D">
              <w:rPr>
                <w:rFonts w:ascii="Arial" w:hAnsi="Arial" w:cs="Arial"/>
                <w:bCs/>
              </w:rPr>
              <w:t>Township enterprises</w:t>
            </w:r>
          </w:p>
        </w:tc>
        <w:tc>
          <w:tcPr>
            <w:tcW w:w="1951" w:type="dxa"/>
          </w:tcPr>
          <w:p w:rsidR="00053DB7" w:rsidRPr="00EA7F8D" w:rsidRDefault="00053DB7" w:rsidP="00053DB7">
            <w:pPr>
              <w:pStyle w:val="ListParagraph"/>
              <w:spacing w:before="100" w:beforeAutospacing="1" w:after="100" w:afterAutospacing="1"/>
              <w:ind w:left="0"/>
              <w:jc w:val="right"/>
              <w:outlineLvl w:val="0"/>
              <w:rPr>
                <w:rFonts w:ascii="Arial" w:eastAsia="Arial" w:hAnsi="Arial" w:cs="Arial"/>
                <w:bCs/>
              </w:rPr>
            </w:pPr>
            <w:r w:rsidRPr="00EA7F8D">
              <w:rPr>
                <w:rFonts w:ascii="Arial" w:eastAsia="Arial" w:hAnsi="Arial" w:cs="Arial"/>
                <w:bCs/>
              </w:rPr>
              <w:t>0</w:t>
            </w:r>
          </w:p>
        </w:tc>
        <w:tc>
          <w:tcPr>
            <w:tcW w:w="1724" w:type="dxa"/>
          </w:tcPr>
          <w:p w:rsidR="00053DB7" w:rsidRPr="00EA7F8D" w:rsidRDefault="00053DB7" w:rsidP="00053DB7">
            <w:pPr>
              <w:pStyle w:val="ListParagraph"/>
              <w:spacing w:before="100" w:beforeAutospacing="1" w:after="100" w:afterAutospacing="1"/>
              <w:ind w:left="0"/>
              <w:jc w:val="right"/>
              <w:outlineLvl w:val="0"/>
              <w:rPr>
                <w:rFonts w:ascii="Arial" w:eastAsia="Arial" w:hAnsi="Arial" w:cs="Arial"/>
                <w:bCs/>
              </w:rPr>
            </w:pPr>
            <w:r w:rsidRPr="00EA7F8D">
              <w:rPr>
                <w:rFonts w:ascii="Arial" w:eastAsia="Arial" w:hAnsi="Arial" w:cs="Arial"/>
                <w:bCs/>
              </w:rPr>
              <w:t>0</w:t>
            </w:r>
          </w:p>
        </w:tc>
      </w:tr>
      <w:tr w:rsidR="00053DB7" w:rsidRPr="00EA7F8D" w:rsidTr="00053DB7">
        <w:tc>
          <w:tcPr>
            <w:tcW w:w="1030"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rPr>
            </w:pPr>
            <w:r w:rsidRPr="00EA7F8D">
              <w:rPr>
                <w:rFonts w:ascii="Arial" w:eastAsia="Arial" w:hAnsi="Arial" w:cs="Arial"/>
              </w:rPr>
              <w:t>(iv)</w:t>
            </w:r>
          </w:p>
        </w:tc>
        <w:tc>
          <w:tcPr>
            <w:tcW w:w="3654" w:type="dxa"/>
          </w:tcPr>
          <w:p w:rsidR="00053DB7" w:rsidRPr="00EA7F8D" w:rsidRDefault="00053DB7" w:rsidP="00053DB7">
            <w:pPr>
              <w:pStyle w:val="ListParagraph"/>
              <w:spacing w:before="100" w:beforeAutospacing="1" w:after="100" w:afterAutospacing="1"/>
              <w:ind w:left="0"/>
              <w:jc w:val="both"/>
              <w:outlineLvl w:val="0"/>
              <w:rPr>
                <w:rFonts w:ascii="Arial" w:eastAsia="Arial" w:hAnsi="Arial" w:cs="Arial"/>
                <w:bCs/>
              </w:rPr>
            </w:pPr>
            <w:r w:rsidRPr="00EA7F8D">
              <w:rPr>
                <w:rFonts w:ascii="Arial" w:hAnsi="Arial" w:cs="Arial"/>
                <w:bCs/>
              </w:rPr>
              <w:t>Rural enterprises</w:t>
            </w:r>
          </w:p>
        </w:tc>
        <w:tc>
          <w:tcPr>
            <w:tcW w:w="1951" w:type="dxa"/>
          </w:tcPr>
          <w:p w:rsidR="00053DB7" w:rsidRPr="00EA7F8D" w:rsidRDefault="00053DB7" w:rsidP="00053DB7">
            <w:pPr>
              <w:pStyle w:val="ListParagraph"/>
              <w:spacing w:before="100" w:beforeAutospacing="1" w:after="100" w:afterAutospacing="1"/>
              <w:ind w:left="0"/>
              <w:jc w:val="right"/>
              <w:outlineLvl w:val="0"/>
              <w:rPr>
                <w:rFonts w:ascii="Arial" w:eastAsia="Arial" w:hAnsi="Arial" w:cs="Arial"/>
                <w:bCs/>
              </w:rPr>
            </w:pPr>
            <w:r w:rsidRPr="00EA7F8D">
              <w:rPr>
                <w:rFonts w:ascii="Arial" w:eastAsia="Arial" w:hAnsi="Arial" w:cs="Arial"/>
                <w:bCs/>
              </w:rPr>
              <w:t>0</w:t>
            </w:r>
          </w:p>
        </w:tc>
        <w:tc>
          <w:tcPr>
            <w:tcW w:w="1724" w:type="dxa"/>
          </w:tcPr>
          <w:p w:rsidR="00053DB7" w:rsidRPr="00EA7F8D" w:rsidRDefault="00053DB7" w:rsidP="00053DB7">
            <w:pPr>
              <w:pStyle w:val="ListParagraph"/>
              <w:spacing w:before="100" w:beforeAutospacing="1" w:after="100" w:afterAutospacing="1"/>
              <w:ind w:left="0"/>
              <w:jc w:val="right"/>
              <w:outlineLvl w:val="0"/>
              <w:rPr>
                <w:rFonts w:ascii="Arial" w:eastAsia="Arial" w:hAnsi="Arial" w:cs="Arial"/>
                <w:bCs/>
              </w:rPr>
            </w:pPr>
            <w:r w:rsidRPr="00EA7F8D">
              <w:rPr>
                <w:rFonts w:ascii="Arial" w:eastAsia="Arial" w:hAnsi="Arial" w:cs="Arial"/>
                <w:bCs/>
              </w:rPr>
              <w:t>0</w:t>
            </w:r>
          </w:p>
        </w:tc>
      </w:tr>
    </w:tbl>
    <w:p w:rsidR="00053DB7" w:rsidRPr="00EA7F8D" w:rsidRDefault="00053DB7" w:rsidP="00053DB7">
      <w:pPr>
        <w:pStyle w:val="ListParagraph"/>
        <w:spacing w:before="100" w:beforeAutospacing="1" w:after="100" w:afterAutospacing="1"/>
        <w:ind w:left="540"/>
        <w:jc w:val="both"/>
        <w:outlineLvl w:val="0"/>
        <w:rPr>
          <w:rFonts w:ascii="Arial" w:eastAsia="Arial" w:hAnsi="Arial" w:cs="Arial"/>
        </w:rPr>
      </w:pPr>
    </w:p>
    <w:p w:rsidR="00053DB7" w:rsidRDefault="00053DB7" w:rsidP="00053DB7">
      <w:pPr>
        <w:pStyle w:val="ListParagraph"/>
        <w:ind w:left="540"/>
        <w:jc w:val="both"/>
        <w:outlineLvl w:val="0"/>
        <w:rPr>
          <w:rFonts w:ascii="Arial" w:eastAsia="Arial" w:hAnsi="Arial" w:cs="Arial"/>
        </w:rPr>
      </w:pPr>
    </w:p>
    <w:p w:rsidR="00053DB7" w:rsidRDefault="00053DB7" w:rsidP="00053DB7">
      <w:pPr>
        <w:pStyle w:val="ListParagraph"/>
        <w:spacing w:before="100" w:beforeAutospacing="1" w:after="100" w:afterAutospacing="1"/>
        <w:ind w:left="540" w:firstLine="594"/>
        <w:jc w:val="both"/>
        <w:outlineLvl w:val="0"/>
        <w:rPr>
          <w:rFonts w:ascii="Arial" w:eastAsia="Arial" w:hAnsi="Arial" w:cs="Arial"/>
        </w:rPr>
      </w:pPr>
    </w:p>
    <w:p w:rsidR="00FE3D0C" w:rsidRPr="00FE3D0C" w:rsidRDefault="00FE3D0C" w:rsidP="00FE3D0C">
      <w:pPr>
        <w:spacing w:before="100" w:beforeAutospacing="1" w:after="100" w:afterAutospacing="1" w:line="276" w:lineRule="auto"/>
        <w:jc w:val="both"/>
        <w:outlineLvl w:val="0"/>
        <w:rPr>
          <w:rFonts w:ascii="Arial" w:eastAsia="Arial" w:hAnsi="Arial" w:cs="Arial"/>
          <w:b/>
        </w:rPr>
      </w:pPr>
      <w:r w:rsidRPr="00FE3D0C">
        <w:rPr>
          <w:rFonts w:ascii="Arial" w:eastAsia="Arial" w:hAnsi="Arial" w:cs="Arial"/>
          <w:b/>
        </w:rPr>
        <w:t>South Maritime Safety Authority (SAMSA)</w:t>
      </w:r>
    </w:p>
    <w:p w:rsidR="00FE3D0C" w:rsidRPr="000A4AEC" w:rsidRDefault="00FE3D0C" w:rsidP="00FE3D0C">
      <w:pPr>
        <w:pStyle w:val="ListParagraph"/>
        <w:numPr>
          <w:ilvl w:val="0"/>
          <w:numId w:val="27"/>
        </w:numPr>
        <w:spacing w:before="100" w:beforeAutospacing="1" w:after="100" w:afterAutospacing="1" w:line="276" w:lineRule="auto"/>
        <w:ind w:left="284" w:hanging="284"/>
        <w:jc w:val="both"/>
        <w:outlineLvl w:val="0"/>
        <w:rPr>
          <w:rFonts w:ascii="Arial" w:eastAsia="Arial" w:hAnsi="Arial" w:cs="Arial"/>
        </w:rPr>
      </w:pPr>
      <w:r w:rsidRPr="000A4AEC">
        <w:rPr>
          <w:rFonts w:ascii="Arial" w:eastAsia="Arial" w:hAnsi="Arial" w:cs="Arial"/>
        </w:rPr>
        <w:t>Not applicable</w:t>
      </w:r>
    </w:p>
    <w:p w:rsidR="00FE3D0C" w:rsidRPr="000A4AEC" w:rsidRDefault="00FE3D0C" w:rsidP="00FE3D0C">
      <w:pPr>
        <w:pStyle w:val="ListParagraph"/>
        <w:spacing w:before="100" w:beforeAutospacing="1" w:after="100" w:afterAutospacing="1" w:line="276" w:lineRule="auto"/>
        <w:ind w:left="1440"/>
        <w:jc w:val="both"/>
        <w:outlineLvl w:val="0"/>
        <w:rPr>
          <w:rFonts w:ascii="Arial" w:eastAsia="Arial" w:hAnsi="Arial" w:cs="Arial"/>
        </w:rPr>
      </w:pPr>
    </w:p>
    <w:p w:rsidR="00FE3D0C" w:rsidRPr="000A4AEC" w:rsidRDefault="00FE3D0C" w:rsidP="00FE3D0C">
      <w:pPr>
        <w:pStyle w:val="ListParagraph"/>
        <w:numPr>
          <w:ilvl w:val="0"/>
          <w:numId w:val="27"/>
        </w:numPr>
        <w:spacing w:before="100" w:beforeAutospacing="1" w:after="100" w:afterAutospacing="1" w:line="276" w:lineRule="auto"/>
        <w:ind w:left="142" w:hanging="142"/>
        <w:jc w:val="both"/>
        <w:outlineLvl w:val="0"/>
        <w:rPr>
          <w:rFonts w:ascii="Arial" w:eastAsia="Arial" w:hAnsi="Arial" w:cs="Arial"/>
        </w:rPr>
      </w:pPr>
      <w:r w:rsidRPr="000A4AEC">
        <w:rPr>
          <w:rFonts w:ascii="Arial" w:eastAsia="Arial" w:hAnsi="Arial" w:cs="Arial"/>
        </w:rPr>
        <w:t>(aa) 2021-22 financial year:</w:t>
      </w:r>
    </w:p>
    <w:p w:rsidR="00FE3D0C" w:rsidRPr="000A4AEC" w:rsidRDefault="00FE3D0C" w:rsidP="00FE3D0C">
      <w:pPr>
        <w:pStyle w:val="ListParagraph"/>
        <w:numPr>
          <w:ilvl w:val="0"/>
          <w:numId w:val="28"/>
        </w:numPr>
        <w:spacing w:before="100" w:beforeAutospacing="1" w:after="100" w:afterAutospacing="1" w:line="276" w:lineRule="auto"/>
        <w:ind w:left="851" w:hanging="851"/>
        <w:jc w:val="both"/>
        <w:outlineLvl w:val="0"/>
        <w:rPr>
          <w:rFonts w:ascii="Arial" w:eastAsia="Arial" w:hAnsi="Arial" w:cs="Arial"/>
        </w:rPr>
      </w:pPr>
      <w:r w:rsidRPr="000A4AEC">
        <w:rPr>
          <w:rFonts w:ascii="Arial" w:eastAsia="Arial" w:hAnsi="Arial" w:cs="Arial"/>
        </w:rPr>
        <w:t>20.69%  of procurement allocated to small, medium and micro-enterprises</w:t>
      </w:r>
    </w:p>
    <w:p w:rsidR="00FE3D0C" w:rsidRPr="000A4AEC" w:rsidRDefault="006130FB" w:rsidP="00FE3D0C">
      <w:pPr>
        <w:pStyle w:val="ListParagraph"/>
        <w:numPr>
          <w:ilvl w:val="0"/>
          <w:numId w:val="28"/>
        </w:numPr>
        <w:spacing w:before="100" w:beforeAutospacing="1" w:after="100" w:afterAutospacing="1" w:line="276" w:lineRule="auto"/>
        <w:ind w:left="851" w:hanging="851"/>
        <w:jc w:val="both"/>
        <w:outlineLvl w:val="0"/>
        <w:rPr>
          <w:rFonts w:ascii="Arial" w:eastAsia="Arial" w:hAnsi="Arial" w:cs="Arial"/>
        </w:rPr>
      </w:pPr>
      <w:r>
        <w:rPr>
          <w:rFonts w:ascii="Arial" w:eastAsia="Arial" w:hAnsi="Arial" w:cs="Arial"/>
        </w:rPr>
        <w:t>Not applicable</w:t>
      </w:r>
    </w:p>
    <w:p w:rsidR="00FE3D0C" w:rsidRPr="000A4AEC" w:rsidRDefault="006130FB" w:rsidP="00FE3D0C">
      <w:pPr>
        <w:pStyle w:val="ListParagraph"/>
        <w:numPr>
          <w:ilvl w:val="0"/>
          <w:numId w:val="28"/>
        </w:numPr>
        <w:spacing w:before="100" w:beforeAutospacing="1" w:after="100" w:afterAutospacing="1" w:line="276" w:lineRule="auto"/>
        <w:ind w:left="851" w:hanging="851"/>
        <w:jc w:val="both"/>
        <w:outlineLvl w:val="0"/>
        <w:rPr>
          <w:rFonts w:ascii="Arial" w:eastAsia="Arial" w:hAnsi="Arial" w:cs="Arial"/>
        </w:rPr>
      </w:pPr>
      <w:r>
        <w:rPr>
          <w:rFonts w:ascii="Arial" w:eastAsia="Arial" w:hAnsi="Arial" w:cs="Arial"/>
        </w:rPr>
        <w:t>Not applicable</w:t>
      </w:r>
    </w:p>
    <w:p w:rsidR="00FE3D0C" w:rsidRPr="000A4AEC" w:rsidRDefault="006130FB" w:rsidP="00FE3D0C">
      <w:pPr>
        <w:pStyle w:val="ListParagraph"/>
        <w:numPr>
          <w:ilvl w:val="0"/>
          <w:numId w:val="28"/>
        </w:numPr>
        <w:spacing w:before="100" w:beforeAutospacing="1" w:after="100" w:afterAutospacing="1" w:line="276" w:lineRule="auto"/>
        <w:ind w:left="851" w:hanging="851"/>
        <w:jc w:val="both"/>
        <w:outlineLvl w:val="0"/>
        <w:rPr>
          <w:rFonts w:ascii="Arial" w:eastAsia="Arial" w:hAnsi="Arial" w:cs="Arial"/>
        </w:rPr>
      </w:pPr>
      <w:r>
        <w:rPr>
          <w:rFonts w:ascii="Arial" w:eastAsia="Arial" w:hAnsi="Arial" w:cs="Arial"/>
        </w:rPr>
        <w:t>Not applicable</w:t>
      </w:r>
    </w:p>
    <w:p w:rsidR="00FE3D0C" w:rsidRDefault="00FE3D0C" w:rsidP="00FE3D0C">
      <w:pPr>
        <w:spacing w:before="100" w:beforeAutospacing="1" w:after="100" w:afterAutospacing="1" w:line="276" w:lineRule="auto"/>
        <w:ind w:left="851" w:hanging="851"/>
        <w:jc w:val="both"/>
        <w:outlineLvl w:val="0"/>
        <w:rPr>
          <w:rFonts w:ascii="Arial" w:eastAsia="Arial" w:hAnsi="Arial" w:cs="Arial"/>
        </w:rPr>
      </w:pPr>
      <w:r w:rsidRPr="000A4AEC">
        <w:rPr>
          <w:rFonts w:ascii="Arial" w:eastAsia="Arial" w:hAnsi="Arial" w:cs="Arial"/>
        </w:rPr>
        <w:t>(bb)</w:t>
      </w:r>
      <w:r w:rsidRPr="000A4AEC">
        <w:rPr>
          <w:rFonts w:ascii="Arial" w:eastAsia="Arial" w:hAnsi="Arial" w:cs="Arial"/>
        </w:rPr>
        <w:tab/>
        <w:t>Since April 2023: This information is not currently available for any of the categories due to a cyber-attack on our ICT environment.</w:t>
      </w:r>
    </w:p>
    <w:p w:rsidR="00063FFB" w:rsidRPr="00063FFB" w:rsidRDefault="00063FFB" w:rsidP="00FE3D0C">
      <w:pPr>
        <w:spacing w:before="100" w:beforeAutospacing="1" w:after="100" w:afterAutospacing="1" w:line="276" w:lineRule="auto"/>
        <w:ind w:left="851" w:hanging="851"/>
        <w:jc w:val="both"/>
        <w:outlineLvl w:val="0"/>
        <w:rPr>
          <w:rFonts w:ascii="Arial" w:eastAsia="Arial" w:hAnsi="Arial" w:cs="Arial"/>
          <w:b/>
          <w:bCs/>
        </w:rPr>
      </w:pPr>
      <w:r w:rsidRPr="00063FFB">
        <w:rPr>
          <w:rFonts w:ascii="Arial" w:eastAsia="Arial" w:hAnsi="Arial" w:cs="Arial"/>
          <w:b/>
          <w:bCs/>
        </w:rPr>
        <w:t>Ports Regulator of South Africa (PRSA)</w:t>
      </w:r>
    </w:p>
    <w:p w:rsidR="00063FFB" w:rsidRDefault="006130FB" w:rsidP="006130FB">
      <w:pPr>
        <w:pStyle w:val="ListParagraph"/>
        <w:numPr>
          <w:ilvl w:val="0"/>
          <w:numId w:val="29"/>
        </w:numPr>
        <w:spacing w:before="100" w:beforeAutospacing="1" w:after="100" w:afterAutospacing="1" w:line="276" w:lineRule="auto"/>
        <w:jc w:val="both"/>
        <w:outlineLvl w:val="0"/>
        <w:rPr>
          <w:rFonts w:ascii="Arial" w:eastAsia="Arial" w:hAnsi="Arial" w:cs="Arial"/>
        </w:rPr>
      </w:pPr>
      <w:r>
        <w:rPr>
          <w:rFonts w:ascii="Arial" w:eastAsia="Arial" w:hAnsi="Arial" w:cs="Arial"/>
        </w:rPr>
        <w:t>Not applicable</w:t>
      </w:r>
    </w:p>
    <w:p w:rsidR="006130FB" w:rsidRDefault="006130FB" w:rsidP="006130FB">
      <w:pPr>
        <w:pStyle w:val="ListParagraph"/>
        <w:numPr>
          <w:ilvl w:val="0"/>
          <w:numId w:val="29"/>
        </w:numPr>
        <w:spacing w:before="100" w:beforeAutospacing="1" w:after="100" w:afterAutospacing="1" w:line="276" w:lineRule="auto"/>
        <w:jc w:val="both"/>
        <w:outlineLvl w:val="0"/>
        <w:rPr>
          <w:rFonts w:ascii="Arial" w:eastAsia="Arial" w:hAnsi="Arial" w:cs="Arial"/>
        </w:rPr>
      </w:pPr>
      <w:r>
        <w:rPr>
          <w:rFonts w:ascii="Arial" w:eastAsia="Arial" w:hAnsi="Arial" w:cs="Arial"/>
        </w:rPr>
        <w:t>(aa) 2021-2022 financial year not applicable</w:t>
      </w:r>
    </w:p>
    <w:p w:rsidR="006130FB" w:rsidRDefault="006130FB" w:rsidP="006130FB">
      <w:pPr>
        <w:pStyle w:val="ListParagraph"/>
        <w:numPr>
          <w:ilvl w:val="0"/>
          <w:numId w:val="30"/>
        </w:numPr>
        <w:spacing w:before="100" w:beforeAutospacing="1" w:after="100" w:afterAutospacing="1" w:line="276" w:lineRule="auto"/>
        <w:jc w:val="both"/>
        <w:outlineLvl w:val="0"/>
        <w:rPr>
          <w:rFonts w:ascii="Arial" w:eastAsia="Arial" w:hAnsi="Arial" w:cs="Arial"/>
        </w:rPr>
      </w:pPr>
      <w:r>
        <w:rPr>
          <w:rFonts w:ascii="Arial" w:eastAsia="Arial" w:hAnsi="Arial" w:cs="Arial"/>
        </w:rPr>
        <w:t>Not applicable</w:t>
      </w:r>
    </w:p>
    <w:p w:rsidR="006130FB" w:rsidRDefault="006130FB" w:rsidP="006130FB">
      <w:pPr>
        <w:pStyle w:val="ListParagraph"/>
        <w:numPr>
          <w:ilvl w:val="0"/>
          <w:numId w:val="30"/>
        </w:numPr>
        <w:spacing w:before="100" w:beforeAutospacing="1" w:after="100" w:afterAutospacing="1" w:line="276" w:lineRule="auto"/>
        <w:jc w:val="both"/>
        <w:outlineLvl w:val="0"/>
        <w:rPr>
          <w:rFonts w:ascii="Arial" w:eastAsia="Arial" w:hAnsi="Arial" w:cs="Arial"/>
        </w:rPr>
      </w:pPr>
      <w:r>
        <w:rPr>
          <w:rFonts w:ascii="Arial" w:eastAsia="Arial" w:hAnsi="Arial" w:cs="Arial"/>
        </w:rPr>
        <w:t>Not applicable</w:t>
      </w:r>
    </w:p>
    <w:p w:rsidR="006130FB" w:rsidRDefault="006130FB" w:rsidP="006130FB">
      <w:pPr>
        <w:pStyle w:val="ListParagraph"/>
        <w:numPr>
          <w:ilvl w:val="0"/>
          <w:numId w:val="30"/>
        </w:numPr>
        <w:spacing w:before="100" w:beforeAutospacing="1" w:after="100" w:afterAutospacing="1" w:line="276" w:lineRule="auto"/>
        <w:jc w:val="both"/>
        <w:outlineLvl w:val="0"/>
        <w:rPr>
          <w:rFonts w:ascii="Arial" w:eastAsia="Arial" w:hAnsi="Arial" w:cs="Arial"/>
        </w:rPr>
      </w:pPr>
      <w:r>
        <w:rPr>
          <w:rFonts w:ascii="Arial" w:eastAsia="Arial" w:hAnsi="Arial" w:cs="Arial"/>
        </w:rPr>
        <w:t>Not applicable</w:t>
      </w:r>
    </w:p>
    <w:p w:rsidR="006130FB" w:rsidRDefault="006130FB" w:rsidP="006130FB">
      <w:pPr>
        <w:pStyle w:val="ListParagraph"/>
        <w:numPr>
          <w:ilvl w:val="0"/>
          <w:numId w:val="30"/>
        </w:numPr>
        <w:spacing w:before="100" w:beforeAutospacing="1" w:after="100" w:afterAutospacing="1" w:line="276" w:lineRule="auto"/>
        <w:jc w:val="both"/>
        <w:outlineLvl w:val="0"/>
        <w:rPr>
          <w:rFonts w:ascii="Arial" w:eastAsia="Arial" w:hAnsi="Arial" w:cs="Arial"/>
        </w:rPr>
      </w:pPr>
      <w:r>
        <w:rPr>
          <w:rFonts w:ascii="Arial" w:eastAsia="Arial" w:hAnsi="Arial" w:cs="Arial"/>
        </w:rPr>
        <w:t>Not applicable</w:t>
      </w:r>
    </w:p>
    <w:p w:rsidR="006130FB" w:rsidRPr="006130FB" w:rsidRDefault="006130FB" w:rsidP="006130FB">
      <w:pPr>
        <w:spacing w:before="100" w:beforeAutospacing="1" w:after="100" w:afterAutospacing="1" w:line="276" w:lineRule="auto"/>
        <w:ind w:left="720"/>
        <w:jc w:val="both"/>
        <w:outlineLvl w:val="0"/>
        <w:rPr>
          <w:rFonts w:ascii="Arial" w:eastAsia="Arial" w:hAnsi="Arial" w:cs="Arial"/>
        </w:rPr>
      </w:pPr>
      <w:r>
        <w:rPr>
          <w:rFonts w:ascii="Arial" w:eastAsia="Arial" w:hAnsi="Arial" w:cs="Arial"/>
        </w:rPr>
        <w:t>(bb) Not applicable</w:t>
      </w:r>
    </w:p>
    <w:p w:rsidR="004701A6" w:rsidRDefault="004701A6" w:rsidP="00053DB7">
      <w:pPr>
        <w:spacing w:before="100" w:beforeAutospacing="1" w:after="100" w:afterAutospacing="1" w:line="360" w:lineRule="auto"/>
        <w:jc w:val="both"/>
        <w:outlineLvl w:val="0"/>
        <w:rPr>
          <w:rFonts w:ascii="Arial" w:eastAsia="Arial" w:hAnsi="Arial" w:cs="Arial"/>
          <w:b/>
        </w:rPr>
      </w:pPr>
    </w:p>
    <w:sectPr w:rsidR="004701A6" w:rsidSect="00F06C05">
      <w:pgSz w:w="12240" w:h="15840"/>
      <w:pgMar w:top="1418" w:right="1440" w:bottom="851" w:left="1843"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5D1" w:rsidRDefault="00BF65D1" w:rsidP="00FF0D42">
      <w:r>
        <w:separator/>
      </w:r>
    </w:p>
  </w:endnote>
  <w:endnote w:type="continuationSeparator" w:id="0">
    <w:p w:rsidR="00BF65D1" w:rsidRDefault="00BF65D1" w:rsidP="00FF0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5D1" w:rsidRDefault="00BF65D1" w:rsidP="00FF0D42">
      <w:r>
        <w:separator/>
      </w:r>
    </w:p>
  </w:footnote>
  <w:footnote w:type="continuationSeparator" w:id="0">
    <w:p w:rsidR="00BF65D1" w:rsidRDefault="00BF65D1" w:rsidP="00FF0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50139B8"/>
    <w:multiLevelType w:val="hybridMultilevel"/>
    <w:tmpl w:val="9E4432C0"/>
    <w:lvl w:ilvl="0" w:tplc="352E725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A2F6938"/>
    <w:multiLevelType w:val="multilevel"/>
    <w:tmpl w:val="9C445DCE"/>
    <w:lvl w:ilvl="0">
      <w:start w:val="3"/>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4">
    <w:nsid w:val="130D0A7F"/>
    <w:multiLevelType w:val="hybridMultilevel"/>
    <w:tmpl w:val="760AE69C"/>
    <w:lvl w:ilvl="0" w:tplc="652CA26C">
      <w:start w:val="1"/>
      <w:numFmt w:val="lowerLetter"/>
      <w:lvlText w:val="(%1)"/>
      <w:lvlJc w:val="left"/>
      <w:pPr>
        <w:ind w:left="1440" w:hanging="90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5">
    <w:nsid w:val="16DC1DE3"/>
    <w:multiLevelType w:val="hybridMultilevel"/>
    <w:tmpl w:val="BA2CBB28"/>
    <w:lvl w:ilvl="0" w:tplc="763C7786">
      <w:start w:val="1"/>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6">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FB3172C"/>
    <w:multiLevelType w:val="hybridMultilevel"/>
    <w:tmpl w:val="58A8B802"/>
    <w:lvl w:ilvl="0" w:tplc="F536CA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83F19FB"/>
    <w:multiLevelType w:val="hybridMultilevel"/>
    <w:tmpl w:val="187CCD82"/>
    <w:lvl w:ilvl="0" w:tplc="F98AC82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B486CE9"/>
    <w:multiLevelType w:val="hybridMultilevel"/>
    <w:tmpl w:val="BC128D4C"/>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8B664B"/>
    <w:multiLevelType w:val="hybridMultilevel"/>
    <w:tmpl w:val="9ABCA3DE"/>
    <w:lvl w:ilvl="0" w:tplc="372AC21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EB841D1"/>
    <w:multiLevelType w:val="hybridMultilevel"/>
    <w:tmpl w:val="60506236"/>
    <w:lvl w:ilvl="0" w:tplc="685E717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552A97"/>
    <w:multiLevelType w:val="hybridMultilevel"/>
    <w:tmpl w:val="3ECEF87A"/>
    <w:lvl w:ilvl="0" w:tplc="8B24670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7"/>
  </w:num>
  <w:num w:numId="3">
    <w:abstractNumId w:val="22"/>
  </w:num>
  <w:num w:numId="4">
    <w:abstractNumId w:val="25"/>
  </w:num>
  <w:num w:numId="5">
    <w:abstractNumId w:val="9"/>
  </w:num>
  <w:num w:numId="6">
    <w:abstractNumId w:val="10"/>
  </w:num>
  <w:num w:numId="7">
    <w:abstractNumId w:val="6"/>
  </w:num>
  <w:num w:numId="8">
    <w:abstractNumId w:val="21"/>
  </w:num>
  <w:num w:numId="9">
    <w:abstractNumId w:val="28"/>
  </w:num>
  <w:num w:numId="10">
    <w:abstractNumId w:val="20"/>
  </w:num>
  <w:num w:numId="11">
    <w:abstractNumId w:val="26"/>
  </w:num>
  <w:num w:numId="12">
    <w:abstractNumId w:val="23"/>
  </w:num>
  <w:num w:numId="13">
    <w:abstractNumId w:val="14"/>
  </w:num>
  <w:num w:numId="14">
    <w:abstractNumId w:val="3"/>
  </w:num>
  <w:num w:numId="15">
    <w:abstractNumId w:val="7"/>
  </w:num>
  <w:num w:numId="16">
    <w:abstractNumId w:val="29"/>
  </w:num>
  <w:num w:numId="17">
    <w:abstractNumId w:val="12"/>
  </w:num>
  <w:num w:numId="18">
    <w:abstractNumId w:val="24"/>
  </w:num>
  <w:num w:numId="19">
    <w:abstractNumId w:val="11"/>
  </w:num>
  <w:num w:numId="20">
    <w:abstractNumId w:val="8"/>
  </w:num>
  <w:num w:numId="21">
    <w:abstractNumId w:val="19"/>
  </w:num>
  <w:num w:numId="22">
    <w:abstractNumId w:val="2"/>
  </w:num>
  <w:num w:numId="23">
    <w:abstractNumId w:val="18"/>
  </w:num>
  <w:num w:numId="24">
    <w:abstractNumId w:val="1"/>
  </w:num>
  <w:num w:numId="25">
    <w:abstractNumId w:val="27"/>
  </w:num>
  <w:num w:numId="26">
    <w:abstractNumId w:val="16"/>
  </w:num>
  <w:num w:numId="27">
    <w:abstractNumId w:val="4"/>
  </w:num>
  <w:num w:numId="28">
    <w:abstractNumId w:val="5"/>
  </w:num>
  <w:num w:numId="29">
    <w:abstractNumId w:val="1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981280"/>
    <w:rsid w:val="00005437"/>
    <w:rsid w:val="000117FA"/>
    <w:rsid w:val="000253C6"/>
    <w:rsid w:val="00044F85"/>
    <w:rsid w:val="00052C92"/>
    <w:rsid w:val="00053DB7"/>
    <w:rsid w:val="00063FFB"/>
    <w:rsid w:val="0007664C"/>
    <w:rsid w:val="00077CF0"/>
    <w:rsid w:val="00086505"/>
    <w:rsid w:val="000A2857"/>
    <w:rsid w:val="000B4C44"/>
    <w:rsid w:val="000E6C24"/>
    <w:rsid w:val="00107C01"/>
    <w:rsid w:val="0012417F"/>
    <w:rsid w:val="001309C7"/>
    <w:rsid w:val="00132355"/>
    <w:rsid w:val="00134FEC"/>
    <w:rsid w:val="001811AA"/>
    <w:rsid w:val="001868E3"/>
    <w:rsid w:val="00192020"/>
    <w:rsid w:val="001B3EC4"/>
    <w:rsid w:val="001C2DD6"/>
    <w:rsid w:val="00206843"/>
    <w:rsid w:val="0022259C"/>
    <w:rsid w:val="002472F1"/>
    <w:rsid w:val="00247495"/>
    <w:rsid w:val="00265375"/>
    <w:rsid w:val="00277EB5"/>
    <w:rsid w:val="002A2389"/>
    <w:rsid w:val="002B00D9"/>
    <w:rsid w:val="002B0C30"/>
    <w:rsid w:val="002C1241"/>
    <w:rsid w:val="002C1934"/>
    <w:rsid w:val="002C194D"/>
    <w:rsid w:val="002C4CF1"/>
    <w:rsid w:val="002C6231"/>
    <w:rsid w:val="002E06F3"/>
    <w:rsid w:val="002E6F58"/>
    <w:rsid w:val="002F47F7"/>
    <w:rsid w:val="00313390"/>
    <w:rsid w:val="00313867"/>
    <w:rsid w:val="00334567"/>
    <w:rsid w:val="00372672"/>
    <w:rsid w:val="003B41C3"/>
    <w:rsid w:val="003C7E3C"/>
    <w:rsid w:val="003D5222"/>
    <w:rsid w:val="003D52BD"/>
    <w:rsid w:val="003F1568"/>
    <w:rsid w:val="003F3F6D"/>
    <w:rsid w:val="003F557A"/>
    <w:rsid w:val="0041784D"/>
    <w:rsid w:val="004362BC"/>
    <w:rsid w:val="004379DC"/>
    <w:rsid w:val="0046365E"/>
    <w:rsid w:val="004701A6"/>
    <w:rsid w:val="00474B76"/>
    <w:rsid w:val="004B2B71"/>
    <w:rsid w:val="004D16A8"/>
    <w:rsid w:val="004E6198"/>
    <w:rsid w:val="004E7020"/>
    <w:rsid w:val="004F4A6B"/>
    <w:rsid w:val="00501B14"/>
    <w:rsid w:val="00534306"/>
    <w:rsid w:val="00557E21"/>
    <w:rsid w:val="00561E9A"/>
    <w:rsid w:val="005677A3"/>
    <w:rsid w:val="00570A69"/>
    <w:rsid w:val="00576770"/>
    <w:rsid w:val="0058353F"/>
    <w:rsid w:val="00586D48"/>
    <w:rsid w:val="00591300"/>
    <w:rsid w:val="005A08A8"/>
    <w:rsid w:val="005E06CA"/>
    <w:rsid w:val="005E2679"/>
    <w:rsid w:val="005E6B8F"/>
    <w:rsid w:val="0060038E"/>
    <w:rsid w:val="006126D8"/>
    <w:rsid w:val="006130FB"/>
    <w:rsid w:val="006552E8"/>
    <w:rsid w:val="006564E2"/>
    <w:rsid w:val="00657E00"/>
    <w:rsid w:val="00660944"/>
    <w:rsid w:val="006701DC"/>
    <w:rsid w:val="006739C4"/>
    <w:rsid w:val="0067584E"/>
    <w:rsid w:val="00691F4E"/>
    <w:rsid w:val="006B064C"/>
    <w:rsid w:val="006B6B51"/>
    <w:rsid w:val="006C4B43"/>
    <w:rsid w:val="006E0080"/>
    <w:rsid w:val="006E4750"/>
    <w:rsid w:val="006F4706"/>
    <w:rsid w:val="007001FC"/>
    <w:rsid w:val="00702BEF"/>
    <w:rsid w:val="00715DEE"/>
    <w:rsid w:val="007165A4"/>
    <w:rsid w:val="007238EF"/>
    <w:rsid w:val="00744051"/>
    <w:rsid w:val="00753F38"/>
    <w:rsid w:val="007767A1"/>
    <w:rsid w:val="007B1019"/>
    <w:rsid w:val="007E06B2"/>
    <w:rsid w:val="007E500E"/>
    <w:rsid w:val="007F36E3"/>
    <w:rsid w:val="007F718C"/>
    <w:rsid w:val="00806316"/>
    <w:rsid w:val="00807406"/>
    <w:rsid w:val="00810D34"/>
    <w:rsid w:val="00812970"/>
    <w:rsid w:val="00822849"/>
    <w:rsid w:val="008254C7"/>
    <w:rsid w:val="008614A1"/>
    <w:rsid w:val="00882C0E"/>
    <w:rsid w:val="008955CA"/>
    <w:rsid w:val="008A09A2"/>
    <w:rsid w:val="008B1D94"/>
    <w:rsid w:val="008B685A"/>
    <w:rsid w:val="008D3CCE"/>
    <w:rsid w:val="008F1628"/>
    <w:rsid w:val="0090125D"/>
    <w:rsid w:val="0090745B"/>
    <w:rsid w:val="00922938"/>
    <w:rsid w:val="00925D24"/>
    <w:rsid w:val="009378AF"/>
    <w:rsid w:val="00941B5D"/>
    <w:rsid w:val="00944973"/>
    <w:rsid w:val="009603C1"/>
    <w:rsid w:val="00981280"/>
    <w:rsid w:val="00995512"/>
    <w:rsid w:val="009C5FB6"/>
    <w:rsid w:val="00A019B5"/>
    <w:rsid w:val="00A10467"/>
    <w:rsid w:val="00A153C9"/>
    <w:rsid w:val="00A15D10"/>
    <w:rsid w:val="00A27B9E"/>
    <w:rsid w:val="00A336A0"/>
    <w:rsid w:val="00A531ED"/>
    <w:rsid w:val="00A66FE6"/>
    <w:rsid w:val="00A731DA"/>
    <w:rsid w:val="00A9681F"/>
    <w:rsid w:val="00AB77B8"/>
    <w:rsid w:val="00AC1B72"/>
    <w:rsid w:val="00AD3304"/>
    <w:rsid w:val="00AD492E"/>
    <w:rsid w:val="00AE4CDC"/>
    <w:rsid w:val="00AE7A21"/>
    <w:rsid w:val="00AF58A4"/>
    <w:rsid w:val="00B02F9B"/>
    <w:rsid w:val="00B156CE"/>
    <w:rsid w:val="00B34E26"/>
    <w:rsid w:val="00B37AD8"/>
    <w:rsid w:val="00B443DE"/>
    <w:rsid w:val="00B57055"/>
    <w:rsid w:val="00B64F66"/>
    <w:rsid w:val="00B7568A"/>
    <w:rsid w:val="00B7739F"/>
    <w:rsid w:val="00B91884"/>
    <w:rsid w:val="00BA0787"/>
    <w:rsid w:val="00BA1986"/>
    <w:rsid w:val="00BA26A4"/>
    <w:rsid w:val="00BB1A15"/>
    <w:rsid w:val="00BB3EF4"/>
    <w:rsid w:val="00BB45A7"/>
    <w:rsid w:val="00BC0C4F"/>
    <w:rsid w:val="00BD551A"/>
    <w:rsid w:val="00BD599B"/>
    <w:rsid w:val="00BE5CF1"/>
    <w:rsid w:val="00BF1E2D"/>
    <w:rsid w:val="00BF65D1"/>
    <w:rsid w:val="00BF784C"/>
    <w:rsid w:val="00C24899"/>
    <w:rsid w:val="00C37751"/>
    <w:rsid w:val="00C6106F"/>
    <w:rsid w:val="00C67487"/>
    <w:rsid w:val="00C71375"/>
    <w:rsid w:val="00C71DD5"/>
    <w:rsid w:val="00C750B0"/>
    <w:rsid w:val="00CA0772"/>
    <w:rsid w:val="00CA148B"/>
    <w:rsid w:val="00CE3E48"/>
    <w:rsid w:val="00CF17BA"/>
    <w:rsid w:val="00CF20D0"/>
    <w:rsid w:val="00CF2AC9"/>
    <w:rsid w:val="00D02ABF"/>
    <w:rsid w:val="00D0545E"/>
    <w:rsid w:val="00D05BFA"/>
    <w:rsid w:val="00D16EAE"/>
    <w:rsid w:val="00D47287"/>
    <w:rsid w:val="00D55D18"/>
    <w:rsid w:val="00D562F1"/>
    <w:rsid w:val="00D571E1"/>
    <w:rsid w:val="00D76BC5"/>
    <w:rsid w:val="00DA1C67"/>
    <w:rsid w:val="00DA3224"/>
    <w:rsid w:val="00DA61A5"/>
    <w:rsid w:val="00DB42D0"/>
    <w:rsid w:val="00DE1F4A"/>
    <w:rsid w:val="00E00D91"/>
    <w:rsid w:val="00E053F3"/>
    <w:rsid w:val="00E10CDD"/>
    <w:rsid w:val="00E63081"/>
    <w:rsid w:val="00E6707C"/>
    <w:rsid w:val="00E676E3"/>
    <w:rsid w:val="00E76623"/>
    <w:rsid w:val="00E8335A"/>
    <w:rsid w:val="00EA1950"/>
    <w:rsid w:val="00EA29B5"/>
    <w:rsid w:val="00EA7C9D"/>
    <w:rsid w:val="00EB0F04"/>
    <w:rsid w:val="00EC04B5"/>
    <w:rsid w:val="00EC46E9"/>
    <w:rsid w:val="00ED1221"/>
    <w:rsid w:val="00EE0191"/>
    <w:rsid w:val="00EF7097"/>
    <w:rsid w:val="00F01C9C"/>
    <w:rsid w:val="00F04BF9"/>
    <w:rsid w:val="00F062BE"/>
    <w:rsid w:val="00F06C05"/>
    <w:rsid w:val="00F072D1"/>
    <w:rsid w:val="00F20EA0"/>
    <w:rsid w:val="00F44916"/>
    <w:rsid w:val="00F45E26"/>
    <w:rsid w:val="00F67911"/>
    <w:rsid w:val="00F94923"/>
    <w:rsid w:val="00FA1FE0"/>
    <w:rsid w:val="00FB00B4"/>
    <w:rsid w:val="00FB2958"/>
    <w:rsid w:val="00FB5C08"/>
    <w:rsid w:val="00FD2648"/>
    <w:rsid w:val="00FD3916"/>
    <w:rsid w:val="00FD54D4"/>
    <w:rsid w:val="00FE3D0C"/>
    <w:rsid w:val="00FF0D4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051"/>
  </w:style>
  <w:style w:type="paragraph" w:styleId="Heading1">
    <w:name w:val="heading 1"/>
    <w:basedOn w:val="Normal"/>
    <w:next w:val="Normal"/>
    <w:rsid w:val="00744051"/>
    <w:pPr>
      <w:keepNext/>
      <w:jc w:val="both"/>
      <w:outlineLvl w:val="0"/>
    </w:pPr>
    <w:rPr>
      <w:b/>
      <w:sz w:val="36"/>
      <w:szCs w:val="36"/>
    </w:rPr>
  </w:style>
  <w:style w:type="paragraph" w:styleId="Heading2">
    <w:name w:val="heading 2"/>
    <w:basedOn w:val="Normal"/>
    <w:next w:val="Normal"/>
    <w:rsid w:val="00744051"/>
    <w:pPr>
      <w:keepNext/>
      <w:jc w:val="both"/>
      <w:outlineLvl w:val="1"/>
    </w:pPr>
    <w:rPr>
      <w:i/>
      <w:sz w:val="36"/>
      <w:szCs w:val="36"/>
    </w:rPr>
  </w:style>
  <w:style w:type="paragraph" w:styleId="Heading3">
    <w:name w:val="heading 3"/>
    <w:basedOn w:val="Normal"/>
    <w:next w:val="Normal"/>
    <w:rsid w:val="00744051"/>
    <w:pPr>
      <w:keepNext/>
      <w:keepLines/>
      <w:spacing w:before="280" w:after="80"/>
      <w:outlineLvl w:val="2"/>
    </w:pPr>
    <w:rPr>
      <w:b/>
      <w:sz w:val="28"/>
      <w:szCs w:val="28"/>
    </w:rPr>
  </w:style>
  <w:style w:type="paragraph" w:styleId="Heading4">
    <w:name w:val="heading 4"/>
    <w:basedOn w:val="Normal"/>
    <w:next w:val="Normal"/>
    <w:rsid w:val="00744051"/>
    <w:pPr>
      <w:keepNext/>
      <w:keepLines/>
      <w:spacing w:before="240" w:after="40"/>
      <w:outlineLvl w:val="3"/>
    </w:pPr>
    <w:rPr>
      <w:b/>
    </w:rPr>
  </w:style>
  <w:style w:type="paragraph" w:styleId="Heading5">
    <w:name w:val="heading 5"/>
    <w:basedOn w:val="Normal"/>
    <w:next w:val="Normal"/>
    <w:rsid w:val="00744051"/>
    <w:pPr>
      <w:keepNext/>
      <w:keepLines/>
      <w:spacing w:before="220" w:after="40"/>
      <w:outlineLvl w:val="4"/>
    </w:pPr>
    <w:rPr>
      <w:b/>
      <w:sz w:val="22"/>
      <w:szCs w:val="22"/>
    </w:rPr>
  </w:style>
  <w:style w:type="paragraph" w:styleId="Heading6">
    <w:name w:val="heading 6"/>
    <w:basedOn w:val="Normal"/>
    <w:next w:val="Normal"/>
    <w:rsid w:val="00744051"/>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051"/>
    <w:pPr>
      <w:jc w:val="center"/>
    </w:pPr>
    <w:rPr>
      <w:rFonts w:ascii="Arial" w:eastAsia="Arial" w:hAnsi="Arial" w:cs="Arial"/>
      <w:b/>
      <w:color w:val="000000"/>
    </w:rPr>
  </w:style>
  <w:style w:type="paragraph" w:styleId="Subtitle">
    <w:name w:val="Subtitle"/>
    <w:basedOn w:val="Normal"/>
    <w:next w:val="Normal"/>
    <w:rsid w:val="00744051"/>
    <w:pPr>
      <w:keepNext/>
      <w:keepLines/>
      <w:spacing w:before="360" w:after="80"/>
    </w:pPr>
    <w:rPr>
      <w:rFonts w:ascii="Georgia" w:eastAsia="Georgia" w:hAnsi="Georgia" w:cs="Georgia"/>
      <w:i/>
      <w:color w:val="666666"/>
      <w:sz w:val="48"/>
      <w:szCs w:val="48"/>
    </w:rPr>
  </w:style>
  <w:style w:type="table" w:customStyle="1" w:styleId="a">
    <w:basedOn w:val="TableNormal"/>
    <w:rsid w:val="00744051"/>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 w:type="paragraph" w:styleId="Header">
    <w:name w:val="header"/>
    <w:basedOn w:val="Normal"/>
    <w:link w:val="HeaderChar"/>
    <w:uiPriority w:val="99"/>
    <w:unhideWhenUsed/>
    <w:rsid w:val="00FF0D42"/>
    <w:pPr>
      <w:tabs>
        <w:tab w:val="center" w:pos="4513"/>
        <w:tab w:val="right" w:pos="9026"/>
      </w:tabs>
    </w:pPr>
  </w:style>
  <w:style w:type="character" w:customStyle="1" w:styleId="HeaderChar">
    <w:name w:val="Header Char"/>
    <w:basedOn w:val="DefaultParagraphFont"/>
    <w:link w:val="Header"/>
    <w:uiPriority w:val="99"/>
    <w:rsid w:val="00FF0D42"/>
  </w:style>
  <w:style w:type="paragraph" w:styleId="Footer">
    <w:name w:val="footer"/>
    <w:basedOn w:val="Normal"/>
    <w:link w:val="FooterChar"/>
    <w:uiPriority w:val="99"/>
    <w:unhideWhenUsed/>
    <w:rsid w:val="00FF0D42"/>
    <w:pPr>
      <w:tabs>
        <w:tab w:val="center" w:pos="4513"/>
        <w:tab w:val="right" w:pos="9026"/>
      </w:tabs>
    </w:pPr>
  </w:style>
  <w:style w:type="character" w:customStyle="1" w:styleId="FooterChar">
    <w:name w:val="Footer Char"/>
    <w:basedOn w:val="DefaultParagraphFont"/>
    <w:link w:val="Footer"/>
    <w:uiPriority w:val="99"/>
    <w:rsid w:val="00FF0D42"/>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136924970">
      <w:bodyDiv w:val="1"/>
      <w:marLeft w:val="0"/>
      <w:marRight w:val="0"/>
      <w:marTop w:val="0"/>
      <w:marBottom w:val="0"/>
      <w:divBdr>
        <w:top w:val="none" w:sz="0" w:space="0" w:color="auto"/>
        <w:left w:val="none" w:sz="0" w:space="0" w:color="auto"/>
        <w:bottom w:val="none" w:sz="0" w:space="0" w:color="auto"/>
        <w:right w:val="none" w:sz="0" w:space="0" w:color="auto"/>
      </w:divBdr>
    </w:div>
    <w:div w:id="429082255">
      <w:bodyDiv w:val="1"/>
      <w:marLeft w:val="0"/>
      <w:marRight w:val="0"/>
      <w:marTop w:val="0"/>
      <w:marBottom w:val="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12908098">
      <w:bodyDiv w:val="1"/>
      <w:marLeft w:val="0"/>
      <w:marRight w:val="0"/>
      <w:marTop w:val="0"/>
      <w:marBottom w:val="0"/>
      <w:divBdr>
        <w:top w:val="none" w:sz="0" w:space="0" w:color="auto"/>
        <w:left w:val="none" w:sz="0" w:space="0" w:color="auto"/>
        <w:bottom w:val="none" w:sz="0" w:space="0" w:color="auto"/>
        <w:right w:val="none" w:sz="0" w:space="0" w:color="auto"/>
      </w:divBdr>
    </w:div>
    <w:div w:id="689179946">
      <w:bodyDiv w:val="1"/>
      <w:marLeft w:val="0"/>
      <w:marRight w:val="0"/>
      <w:marTop w:val="0"/>
      <w:marBottom w:val="0"/>
      <w:divBdr>
        <w:top w:val="none" w:sz="0" w:space="0" w:color="auto"/>
        <w:left w:val="none" w:sz="0" w:space="0" w:color="auto"/>
        <w:bottom w:val="none" w:sz="0" w:space="0" w:color="auto"/>
        <w:right w:val="none" w:sz="0" w:space="0" w:color="auto"/>
      </w:divBdr>
    </w:div>
    <w:div w:id="934095284">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16867645">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05971">
      <w:bodyDiv w:val="1"/>
      <w:marLeft w:val="0"/>
      <w:marRight w:val="0"/>
      <w:marTop w:val="0"/>
      <w:marBottom w:val="0"/>
      <w:divBdr>
        <w:top w:val="none" w:sz="0" w:space="0" w:color="auto"/>
        <w:left w:val="none" w:sz="0" w:space="0" w:color="auto"/>
        <w:bottom w:val="none" w:sz="0" w:space="0" w:color="auto"/>
        <w:right w:val="none" w:sz="0" w:space="0" w:color="auto"/>
      </w:divBdr>
    </w:div>
    <w:div w:id="1248660341">
      <w:bodyDiv w:val="1"/>
      <w:marLeft w:val="0"/>
      <w:marRight w:val="0"/>
      <w:marTop w:val="0"/>
      <w:marBottom w:val="0"/>
      <w:divBdr>
        <w:top w:val="none" w:sz="0" w:space="0" w:color="auto"/>
        <w:left w:val="none" w:sz="0" w:space="0" w:color="auto"/>
        <w:bottom w:val="none" w:sz="0" w:space="0" w:color="auto"/>
        <w:right w:val="none" w:sz="0" w:space="0" w:color="auto"/>
      </w:divBdr>
    </w:div>
    <w:div w:id="1509246851">
      <w:bodyDiv w:val="1"/>
      <w:marLeft w:val="0"/>
      <w:marRight w:val="0"/>
      <w:marTop w:val="0"/>
      <w:marBottom w:val="0"/>
      <w:divBdr>
        <w:top w:val="none" w:sz="0" w:space="0" w:color="auto"/>
        <w:left w:val="none" w:sz="0" w:space="0" w:color="auto"/>
        <w:bottom w:val="none" w:sz="0" w:space="0" w:color="auto"/>
        <w:right w:val="none" w:sz="0" w:space="0" w:color="auto"/>
      </w:divBdr>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 w:id="1752966364">
      <w:bodyDiv w:val="1"/>
      <w:marLeft w:val="0"/>
      <w:marRight w:val="0"/>
      <w:marTop w:val="0"/>
      <w:marBottom w:val="0"/>
      <w:divBdr>
        <w:top w:val="none" w:sz="0" w:space="0" w:color="auto"/>
        <w:left w:val="none" w:sz="0" w:space="0" w:color="auto"/>
        <w:bottom w:val="none" w:sz="0" w:space="0" w:color="auto"/>
        <w:right w:val="none" w:sz="0" w:space="0" w:color="auto"/>
      </w:divBdr>
    </w:div>
    <w:div w:id="1772512372">
      <w:bodyDiv w:val="1"/>
      <w:marLeft w:val="0"/>
      <w:marRight w:val="0"/>
      <w:marTop w:val="0"/>
      <w:marBottom w:val="0"/>
      <w:divBdr>
        <w:top w:val="none" w:sz="0" w:space="0" w:color="auto"/>
        <w:left w:val="none" w:sz="0" w:space="0" w:color="auto"/>
        <w:bottom w:val="none" w:sz="0" w:space="0" w:color="auto"/>
        <w:right w:val="none" w:sz="0" w:space="0" w:color="auto"/>
      </w:divBdr>
    </w:div>
    <w:div w:id="2079857360">
      <w:bodyDiv w:val="1"/>
      <w:marLeft w:val="0"/>
      <w:marRight w:val="0"/>
      <w:marTop w:val="0"/>
      <w:marBottom w:val="0"/>
      <w:divBdr>
        <w:top w:val="none" w:sz="0" w:space="0" w:color="auto"/>
        <w:left w:val="none" w:sz="0" w:space="0" w:color="auto"/>
        <w:bottom w:val="none" w:sz="0" w:space="0" w:color="auto"/>
        <w:right w:val="none" w:sz="0" w:space="0" w:color="auto"/>
      </w:divBdr>
    </w:div>
    <w:div w:id="211085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11B9-1385-4F31-937D-4EF67D018396}">
  <ds:schemaRefs>
    <ds:schemaRef ds:uri="http://schemas.openxmlformats.org/officeDocument/2006/bibliography"/>
  </ds:schemaRefs>
</ds:datastoreItem>
</file>

<file path=docMetadata/LabelInfo.xml><?xml version="1.0" encoding="utf-8"?>
<clbl:labelList xmlns:clbl="http://schemas.microsoft.com/office/2020/mipLabelMetadata">
  <clbl:label id="{d40e4da3-12b5-4f14-95df-0255cf97e854}" enabled="0" method="" siteId="{d40e4da3-12b5-4f14-95df-0255cf97e854}"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2023-04-25T06:05:00Z</cp:lastPrinted>
  <dcterms:created xsi:type="dcterms:W3CDTF">2023-07-06T11:30:00Z</dcterms:created>
  <dcterms:modified xsi:type="dcterms:W3CDTF">2023-07-06T11:30:00Z</dcterms:modified>
</cp:coreProperties>
</file>